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jpeg" ContentType="image/jpeg"/>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val="false"/>
          <w:color w:val="000000"/>
          <w:sz w:val="24"/>
          <w:u w:val="single"/>
        </w:rPr>
        <w:t>October 21,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21, 2026, ARMOUR Residential REIT, Inc. (“ARMOUR”) produced for distribution a presentation, which contains updates on ARMOUR's financial position, business and operations. Attached as Exhibit 99.1 to this report is the presentation produced by ARMOUR.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attached to this report as Exhibit 99.1 is furnished pursuant to this Item 7.01 and shall not be deemed filed in this or any other filing of ARMOUR under the Securities Exchange Act of 1934, as amended, unless expressly incorporated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3"/>
        <w:gridCol w:w="1923"/>
        <w:gridCol w:w="27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ctober2026companyupdate.htm">
              <w:r>
                <w:rPr>
                  <w:rStyle w:val="InternetLink"/>
                  <w:rFonts w:ascii="Times New Roman;serif" w:hAnsi="Times New Roman;serif"/>
                  <w:b w:val="false"/>
                  <w:color w:val="0000FF"/>
                  <w:sz w:val="20"/>
                  <w:u w:val="single"/>
                </w:rPr>
                <w:t>Presentation dated October 21,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21, 2026</w:t>
      </w:r>
    </w:p>
    <w:p>
      <w:pPr>
        <w:pStyle w:val="TextBody"/>
        <w:bidi w:val="0"/>
        <w:spacing w:before="0" w:after="0"/>
        <w:jc w:val="left"/>
        <w:rPr/>
      </w:pPr>
      <w:r>
        <w:rPr/>
      </w:r>
    </w:p>
    <w:p>
      <w:pPr>
        <w:pStyle w:val="TextBody"/>
        <w:bidi w:val="0"/>
        <w:spacing w:lineRule="auto" w:line="288" w:before="0" w:after="0"/>
        <w:ind w:left="0" w:right="0" w:firstLine="4410"/>
        <w:jc w:val="left"/>
        <w:rPr>
          <w:rFonts w:ascii="Times New Roman;serif" w:hAnsi="Times New Roman;serif"/>
          <w:b/>
          <w:color w:val="000000"/>
          <w:sz w:val="20"/>
        </w:rPr>
      </w:pPr>
      <w:r>
        <w:rPr>
          <w:rFonts w:ascii="Times New Roman;serif" w:hAnsi="Times New Roman;serif"/>
          <w:b/>
          <w:color w:val="000000"/>
          <w:sz w:val="20"/>
        </w:rPr>
        <w:t>ARMOUR RESIDENTIAL REIT, INC.</w:t>
      </w:r>
    </w:p>
    <w:p>
      <w:pPr>
        <w:pStyle w:val="TextBody"/>
        <w:bidi w:val="0"/>
        <w:spacing w:before="0" w:after="0"/>
        <w:jc w:val="left"/>
        <w:rPr/>
      </w:pPr>
      <w:r>
        <w:rPr/>
      </w:r>
    </w:p>
    <w:p>
      <w:pPr>
        <w:pStyle w:val="TextBody"/>
        <w:bidi w:val="0"/>
        <w:spacing w:lineRule="auto" w:line="288" w:before="0" w:after="0"/>
        <w:ind w:left="0" w:right="0" w:firstLine="441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Gordon M. Harper</w:t>
      </w:r>
    </w:p>
    <w:p>
      <w:pPr>
        <w:pStyle w:val="TextBody"/>
        <w:bidi w:val="0"/>
        <w:spacing w:lineRule="auto" w:line="288" w:before="0" w:after="0"/>
        <w:ind w:left="0" w:right="0" w:firstLine="4410"/>
        <w:jc w:val="left"/>
        <w:rPr>
          <w:rFonts w:ascii="Times New Roman;serif" w:hAnsi="Times New Roman;serif"/>
          <w:b w:val="false"/>
          <w:color w:val="000000"/>
          <w:sz w:val="20"/>
        </w:rPr>
      </w:pPr>
      <w:r>
        <w:rPr>
          <w:rFonts w:ascii="Times New Roman;serif" w:hAnsi="Times New Roman;serif"/>
          <w:b w:val="false"/>
          <w:color w:val="000000"/>
          <w:sz w:val="20"/>
        </w:rPr>
        <w:t>Name: Gordon M. Harper</w:t>
      </w:r>
    </w:p>
    <w:p>
      <w:pPr>
        <w:pStyle w:val="TextBody"/>
        <w:bidi w:val="0"/>
        <w:spacing w:lineRule="auto" w:line="288" w:before="0" w:after="0"/>
        <w:ind w:left="0" w:right="0" w:firstLine="441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0"/>
        <w:ind w:left="0" w:right="0" w:firstLine="4410"/>
        <w:jc w:val="left"/>
        <w:rPr/>
      </w:pPr>
      <w:r>
        <w:rPr/>
      </w:r>
    </w:p>
    <w:p>
      <w:pPr>
        <w:pStyle w:val="TextBody"/>
        <w:bidi w:val="0"/>
        <w:spacing w:before="0" w:after="0"/>
        <w:ind w:left="0" w:right="0" w:firstLine="4410"/>
        <w:jc w:val="left"/>
        <w:rPr/>
      </w:pPr>
      <w:r>
        <w:rPr/>
      </w:r>
    </w:p>
    <w:p>
      <w:pPr>
        <w:pStyle w:val="TextBody"/>
        <w:bidi w:val="0"/>
        <w:spacing w:before="0" w:after="283"/>
        <w:jc w:val="left"/>
        <w:rPr/>
      </w:pPr>
      <w:r>
        <w:rPr/>
      </w:r>
    </w:p>
    <w:p>
      <w:pPr>
        <w:pStyle w:val="TextBody"/>
        <w:bidi w:val="0"/>
        <w:spacing w:before="0" w:after="0"/>
        <w:jc w:val="left"/>
        <w:rPr>
          <w:shd w:fill="E4E4E4" w:val="clear"/>
        </w:rPr>
      </w:pPr>
      <w:bookmarkStart w:id="0" w:name="october2026companyupdate.htm"/>
      <w:bookmarkStart w:id="1" w:name="ksoctober2026companyupdate"/>
      <w:bookmarkEnd w:id="0"/>
      <w:bookmarkEnd w:id="1"/>
      <w:r>
        <w:rPr>
          <w:shd w:fill="E4E4E4" w:val="clear"/>
        </w:rPr>
        <w:drawing>
          <wp:inline distT="0" distB="0" distL="0" distR="0">
            <wp:extent cx="7772400" cy="1006030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2400" cy="10060305"/>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0255CB"/>
          <w:sz w:val="16"/>
          <w:u w:val="none"/>
          <w:effect w:val="none"/>
          <w:shd w:fill="E4E4E4" w:val="clear"/>
        </w:rPr>
        <w:t>Portfolio and Key Data as of 09/30/26, except CPR which is as of 10/06/26</w:t>
      </w:r>
      <w:r>
        <w:rPr>
          <w:rFonts w:ascii="Arial;sans-serif" w:hAnsi="Arial;sans-serif"/>
          <w:caps w:val="false"/>
          <w:smallCaps w:val="false"/>
          <w:strike w:val="false"/>
          <w:dstrike w:val="false"/>
          <w:color w:val="0255CB"/>
          <w:sz w:val="24"/>
          <w:u w:val="none"/>
          <w:effect w:val="none"/>
          <w:shd w:fill="E4E4E4" w:val="clear"/>
        </w:rPr>
        <w:t xml:space="preserve"> </w:t>
      </w:r>
      <w:r>
        <w:rPr>
          <w:rFonts w:ascii="Arial;sans-serif" w:hAnsi="Arial;sans-serif"/>
          <w:b w:val="false"/>
          <w:i w:val="false"/>
          <w:caps w:val="false"/>
          <w:smallCaps w:val="false"/>
          <w:strike w:val="false"/>
          <w:dstrike w:val="false"/>
          <w:color w:val="0255CB"/>
          <w:sz w:val="16"/>
          <w:u w:val="none"/>
          <w:effect w:val="none"/>
          <w:shd w:fill="E4E4E4" w:val="clear"/>
        </w:rPr>
        <w:t>or as stated otherwise.</w:t>
      </w:r>
    </w:p>
    <w:p>
      <w:pPr>
        <w:pStyle w:val="TextBody"/>
        <w:bidi w:val="0"/>
        <w:spacing w:before="0" w:after="0"/>
        <w:jc w:val="left"/>
        <w:rPr>
          <w:shd w:fill="E4E4E4" w:val="clear"/>
        </w:rPr>
      </w:pPr>
      <w:r>
        <w:rPr>
          <w:shd w:fill="E4E4E4" w:val="clear"/>
        </w:rPr>
        <w:drawing>
          <wp:inline distT="0" distB="0" distL="0" distR="0">
            <wp:extent cx="889000" cy="222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889000" cy="2222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8" w:before="0" w:after="0"/>
        <w:jc w:val="left"/>
        <w:rPr>
          <w:rFonts w:ascii="Arial;sans-serif" w:hAnsi="Arial;sans-serif"/>
          <w:shd w:fill="E4E4E4" w:val="clear"/>
        </w:rPr>
      </w:pPr>
      <w:r>
        <w:rPr>
          <w:rFonts w:ascii="Arial;sans-serif" w:hAnsi="Arial;sans-serif"/>
          <w:b/>
          <w:i w:val="false"/>
          <w:caps w:val="false"/>
          <w:smallCaps w:val="false"/>
          <w:strike w:val="false"/>
          <w:dstrike w:val="false"/>
          <w:color w:val="FFFFFF"/>
          <w:sz w:val="56"/>
          <w:u w:val="none"/>
          <w:effect w:val="none"/>
          <w:shd w:fill="E4E4E4" w:val="clear"/>
        </w:rPr>
        <w:t>ARMOUR Residential REIT, Inc.</w:t>
      </w:r>
      <w:r>
        <w:rPr>
          <w:rFonts w:ascii="Arial;sans-serif" w:hAnsi="Arial;sans-serif"/>
          <w:caps w:val="false"/>
          <w:smallCaps w:val="false"/>
          <w:strike w:val="false"/>
          <w:dstrike w:val="false"/>
          <w:color w:val="FFFFFF"/>
          <w:u w:val="none"/>
          <w:effect w:val="none"/>
          <w:shd w:fill="E4E4E4" w:val="clear"/>
        </w:rPr>
        <w:t xml:space="preserve"> </w:t>
      </w:r>
    </w:p>
    <w:p>
      <w:pPr>
        <w:pStyle w:val="TextBody"/>
        <w:bidi w:val="0"/>
        <w:spacing w:lineRule="atLeast" w:line="233" w:before="0" w:after="0"/>
        <w:jc w:val="left"/>
        <w:rPr>
          <w:rFonts w:ascii="Arial;sans-serif" w:hAnsi="Arial;sans-serif"/>
          <w:sz w:val="32"/>
          <w:shd w:fill="E4E4E4" w:val="clear"/>
        </w:rPr>
      </w:pPr>
      <w:r>
        <w:rPr>
          <w:rFonts w:ascii="Arial;sans-serif" w:hAnsi="Arial;sans-serif"/>
          <w:b w:val="false"/>
          <w:i w:val="false"/>
          <w:caps w:val="false"/>
          <w:smallCaps w:val="false"/>
          <w:strike w:val="false"/>
          <w:dstrike w:val="false"/>
          <w:color w:val="FFFFFF"/>
          <w:sz w:val="32"/>
          <w:u w:val="none"/>
          <w:effect w:val="none"/>
          <w:shd w:fill="E4E4E4" w:val="clear"/>
        </w:rPr>
        <w:t>Monthly Update</w:t>
      </w:r>
      <w:r>
        <w:rPr>
          <w:rFonts w:ascii="Arial;sans-serif" w:hAnsi="Arial;sans-serif"/>
          <w:caps w:val="false"/>
          <w:smallCaps w:val="false"/>
          <w:strike w:val="false"/>
          <w:dstrike w:val="false"/>
          <w:color w:val="FFFFFF"/>
          <w:sz w:val="32"/>
          <w:u w:val="none"/>
          <w:effect w:val="none"/>
          <w:shd w:fill="E4E4E4" w:val="clear"/>
        </w:rPr>
        <w:t xml:space="preserve"> </w:t>
      </w:r>
      <w:r>
        <w:rPr>
          <w:rFonts w:ascii="Arial;sans-serif" w:hAnsi="Arial;sans-serif"/>
          <w:b w:val="false"/>
          <w:i w:val="false"/>
          <w:caps w:val="false"/>
          <w:smallCaps w:val="false"/>
          <w:strike w:val="false"/>
          <w:dstrike w:val="false"/>
          <w:color w:val="FFFFFF"/>
          <w:sz w:val="32"/>
          <w:u w:val="none"/>
          <w:effect w:val="none"/>
          <w:shd w:fill="E4E4E4" w:val="clear"/>
        </w:rPr>
        <w:t>October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80" w:before="0" w:after="0"/>
        <w:jc w:val="left"/>
        <w:rPr>
          <w:shd w:fill="E4E4E4" w:val="clear"/>
        </w:rPr>
      </w:pPr>
      <w:r>
        <w:rPr>
          <w:shd w:fill="E4E4E4" w:val="clear"/>
        </w:rPr>
        <w:drawing>
          <wp:inline distT="0" distB="0" distL="0" distR="0">
            <wp:extent cx="3383280" cy="1828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3383280" cy="18288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page">
                  <wp:posOffset>7542530</wp:posOffset>
                </wp:positionH>
                <wp:positionV relativeFrom="line">
                  <wp:posOffset>635</wp:posOffset>
                </wp:positionV>
                <wp:extent cx="34925" cy="175260"/>
                <wp:effectExtent l="0" t="0" r="0" b="0"/>
                <wp:wrapNone/>
                <wp:docPr id="7" name="Frame1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4114800</wp:posOffset>
                </wp:positionH>
                <wp:positionV relativeFrom="line">
                  <wp:posOffset>635</wp:posOffset>
                </wp:positionV>
                <wp:extent cx="3429000" cy="664210"/>
                <wp:effectExtent l="0" t="0" r="0" b="0"/>
                <wp:wrapNone/>
                <wp:docPr id="8" name="Frame109"/>
                <a:graphic xmlns:a="http://schemas.openxmlformats.org/drawingml/2006/main">
                  <a:graphicData uri="http://schemas.microsoft.com/office/word/2010/wordprocessingShape">
                    <wps:wsp>
                      <wps:cNvSpPr txBox="1"/>
                      <wps:spPr>
                        <a:xfrm>
                          <a:off x="0" y="0"/>
                          <a:ext cx="3429000" cy="664210"/>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1F273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52.3pt;mso-wrap-distance-left:0pt;mso-wrap-distance-right:0pt;mso-wrap-distance-top:0pt;mso-wrap-distance-bottom:0pt;margin-top:0pt;mso-position-vertical:top;mso-position-vertical-relative:text;margin-left:324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1F273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4114800</wp:posOffset>
                </wp:positionH>
                <wp:positionV relativeFrom="line">
                  <wp:posOffset>635</wp:posOffset>
                </wp:positionV>
                <wp:extent cx="3429000" cy="3505835"/>
                <wp:effectExtent l="0" t="0" r="0" b="0"/>
                <wp:wrapNone/>
                <wp:docPr id="9" name="Frame97"/>
                <a:graphic xmlns:a="http://schemas.openxmlformats.org/drawingml/2006/main">
                  <a:graphicData uri="http://schemas.microsoft.com/office/word/2010/wordprocessingShape">
                    <wps:wsp>
                      <wps:cNvSpPr txBox="1"/>
                      <wps:spPr>
                        <a:xfrm>
                          <a:off x="0" y="0"/>
                          <a:ext cx="3429000" cy="3505835"/>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4854"/>
                              <w:gridCol w:w="692"/>
                            </w:tblGrid>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F273B" w:val="clear"/>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Common Stock Price ($)</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 xml:space="preserve">Debt-Equity </w:t>
                                  </w:r>
                                  <w:r>
                                    <w:rPr>
                                      <w:rFonts w:ascii="Arial;sans-serif" w:hAnsi="Arial;sans-serif"/>
                                      <w:b/>
                                      <w:i w:val="false"/>
                                      <w:caps w:val="false"/>
                                      <w:smallCaps w:val="false"/>
                                      <w:strike w:val="false"/>
                                      <w:dstrike w:val="false"/>
                                      <w:color w:val="0255CB"/>
                                      <w:sz w:val="10"/>
                                      <w:u w:val="none"/>
                                      <w:effect w:val="none"/>
                                    </w:rPr>
                                    <w:t>(1)</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Implied Leverage</w:t>
                                  </w:r>
                                  <w:r>
                                    <w:rPr>
                                      <w:caps w:val="false"/>
                                      <w:smallCaps w:val="false"/>
                                      <w:strike w:val="false"/>
                                      <w:dstrike w:val="false"/>
                                      <w:color w:val="0255CB"/>
                                      <w:u w:val="none"/>
                                      <w:effect w:val="none"/>
                                    </w:rPr>
                                    <w:t xml:space="preserve"> </w:t>
                                  </w:r>
                                  <w:r>
                                    <w:rPr>
                                      <w:rFonts w:ascii="Arial;sans-serif" w:hAnsi="Arial;sans-serif"/>
                                      <w:b/>
                                      <w:i w:val="false"/>
                                      <w:caps w:val="false"/>
                                      <w:smallCaps w:val="false"/>
                                      <w:strike w:val="false"/>
                                      <w:dstrike w:val="false"/>
                                      <w:color w:val="0255CB"/>
                                      <w:sz w:val="10"/>
                                      <w:u w:val="none"/>
                                      <w:effect w:val="none"/>
                                    </w:rPr>
                                    <w:t>(2)</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Liquidity</w:t>
                                  </w:r>
                                  <w:r>
                                    <w:rPr>
                                      <w:caps w:val="false"/>
                                      <w:smallCaps w:val="false"/>
                                      <w:strike w:val="false"/>
                                      <w:dstrike w:val="false"/>
                                      <w:color w:val="0255CB"/>
                                      <w:u w:val="none"/>
                                      <w:effect w:val="none"/>
                                    </w:rPr>
                                    <w:t xml:space="preserve"> </w:t>
                                  </w:r>
                                  <w:r>
                                    <w:rPr>
                                      <w:rFonts w:ascii="Arial;sans-serif" w:hAnsi="Arial;sans-serif"/>
                                      <w:b/>
                                      <w:i w:val="false"/>
                                      <w:caps w:val="false"/>
                                      <w:smallCaps w:val="false"/>
                                      <w:strike w:val="false"/>
                                      <w:dstrike w:val="false"/>
                                      <w:color w:val="0255CB"/>
                                      <w:sz w:val="10"/>
                                      <w:u w:val="none"/>
                                      <w:effect w:val="none"/>
                                    </w:rPr>
                                    <w:t xml:space="preserve">(3) </w:t>
                                  </w:r>
                                  <w:r>
                                    <w:rPr>
                                      <w:rFonts w:ascii="Arial;sans-serif" w:hAnsi="Arial;sans-serif"/>
                                      <w:b/>
                                      <w:i w:val="false"/>
                                      <w:caps w:val="false"/>
                                      <w:smallCaps w:val="false"/>
                                      <w:strike w:val="false"/>
                                      <w:dstrike w:val="false"/>
                                      <w:color w:val="0255CB"/>
                                      <w:sz w:val="16"/>
                                      <w:u w:val="none"/>
                                      <w:effect w:val="none"/>
                                    </w:rPr>
                                    <w:t>(in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Liquidity as Percentage of Total Capital</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Q3 2026 Market Cap (in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F273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Dividend Information</w:t>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November 2026 Common Dividend</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Common Ex-Dividend Date/Record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Pay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Current Dividend Yield</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276.05pt;mso-wrap-distance-left:0pt;mso-wrap-distance-right:0pt;mso-wrap-distance-top:0pt;mso-wrap-distance-bottom:0pt;margin-top:0pt;mso-position-vertical:top;mso-position-vertical-relative:text;margin-left:324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4854"/>
                        <w:gridCol w:w="692"/>
                      </w:tblGrid>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F273B" w:val="clear"/>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Common Stock Price ($)</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 xml:space="preserve">Debt-Equity </w:t>
                            </w:r>
                            <w:r>
                              <w:rPr>
                                <w:rFonts w:ascii="Arial;sans-serif" w:hAnsi="Arial;sans-serif"/>
                                <w:b/>
                                <w:i w:val="false"/>
                                <w:caps w:val="false"/>
                                <w:smallCaps w:val="false"/>
                                <w:strike w:val="false"/>
                                <w:dstrike w:val="false"/>
                                <w:color w:val="0255CB"/>
                                <w:sz w:val="10"/>
                                <w:u w:val="none"/>
                                <w:effect w:val="none"/>
                              </w:rPr>
                              <w:t>(1)</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Implied Leverage</w:t>
                            </w:r>
                            <w:r>
                              <w:rPr>
                                <w:caps w:val="false"/>
                                <w:smallCaps w:val="false"/>
                                <w:strike w:val="false"/>
                                <w:dstrike w:val="false"/>
                                <w:color w:val="0255CB"/>
                                <w:u w:val="none"/>
                                <w:effect w:val="none"/>
                              </w:rPr>
                              <w:t xml:space="preserve"> </w:t>
                            </w:r>
                            <w:r>
                              <w:rPr>
                                <w:rFonts w:ascii="Arial;sans-serif" w:hAnsi="Arial;sans-serif"/>
                                <w:b/>
                                <w:i w:val="false"/>
                                <w:caps w:val="false"/>
                                <w:smallCaps w:val="false"/>
                                <w:strike w:val="false"/>
                                <w:dstrike w:val="false"/>
                                <w:color w:val="0255CB"/>
                                <w:sz w:val="10"/>
                                <w:u w:val="none"/>
                                <w:effect w:val="none"/>
                              </w:rPr>
                              <w:t>(2)</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Liquidity</w:t>
                            </w:r>
                            <w:r>
                              <w:rPr>
                                <w:caps w:val="false"/>
                                <w:smallCaps w:val="false"/>
                                <w:strike w:val="false"/>
                                <w:dstrike w:val="false"/>
                                <w:color w:val="0255CB"/>
                                <w:u w:val="none"/>
                                <w:effect w:val="none"/>
                              </w:rPr>
                              <w:t xml:space="preserve"> </w:t>
                            </w:r>
                            <w:r>
                              <w:rPr>
                                <w:rFonts w:ascii="Arial;sans-serif" w:hAnsi="Arial;sans-serif"/>
                                <w:b/>
                                <w:i w:val="false"/>
                                <w:caps w:val="false"/>
                                <w:smallCaps w:val="false"/>
                                <w:strike w:val="false"/>
                                <w:dstrike w:val="false"/>
                                <w:color w:val="0255CB"/>
                                <w:sz w:val="10"/>
                                <w:u w:val="none"/>
                                <w:effect w:val="none"/>
                              </w:rPr>
                              <w:t xml:space="preserve">(3) </w:t>
                            </w:r>
                            <w:r>
                              <w:rPr>
                                <w:rFonts w:ascii="Arial;sans-serif" w:hAnsi="Arial;sans-serif"/>
                                <w:b/>
                                <w:i w:val="false"/>
                                <w:caps w:val="false"/>
                                <w:smallCaps w:val="false"/>
                                <w:strike w:val="false"/>
                                <w:dstrike w:val="false"/>
                                <w:color w:val="0255CB"/>
                                <w:sz w:val="16"/>
                                <w:u w:val="none"/>
                                <w:effect w:val="none"/>
                              </w:rPr>
                              <w:t>(in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Liquidity as Percentage of Total Capital</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Q3 2026 Market Cap (in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F273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Dividend Information</w:t>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November 2026 Common Dividend</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Common Ex-Dividend Date/Record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Pay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Current Dividend Yield</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228600</wp:posOffset>
                </wp:positionH>
                <wp:positionV relativeFrom="line">
                  <wp:posOffset>635</wp:posOffset>
                </wp:positionV>
                <wp:extent cx="3429000" cy="7028180"/>
                <wp:effectExtent l="0" t="0" r="0" b="0"/>
                <wp:wrapNone/>
                <wp:docPr id="10" name="Frame24"/>
                <a:graphic xmlns:a="http://schemas.openxmlformats.org/drawingml/2006/main">
                  <a:graphicData uri="http://schemas.microsoft.com/office/word/2010/wordprocessingShape">
                    <wps:wsp>
                      <wps:cNvSpPr txBox="1"/>
                      <wps:spPr>
                        <a:xfrm>
                          <a:off x="0" y="0"/>
                          <a:ext cx="3429000" cy="7028180"/>
                        </a:xfrm>
                        <a:prstGeom prst="rect"/>
                        <a:solidFill>
                          <a:srgbClr val="FFFFFF"/>
                        </a:solidFill>
                      </wps:spPr>
                      <wps:txbx>
                        <w:txbxContent>
                          <w:tbl>
                            <w:tblPr>
                              <w:tblW w:w="5804" w:type="dxa"/>
                              <w:jc w:val="left"/>
                              <w:tblInd w:w="0" w:type="dxa"/>
                              <w:tblLayout w:type="fixed"/>
                              <w:tblCellMar>
                                <w:top w:w="28" w:type="dxa"/>
                                <w:left w:w="28" w:type="dxa"/>
                                <w:bottom w:w="28" w:type="dxa"/>
                                <w:right w:w="28" w:type="dxa"/>
                              </w:tblCellMar>
                            </w:tblPr>
                            <w:tblGrid>
                              <w:gridCol w:w="2486"/>
                              <w:gridCol w:w="1091"/>
                              <w:gridCol w:w="1151"/>
                              <w:gridCol w:w="1076"/>
                            </w:tblGrid>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1F273B" w:val="clear"/>
                                  <w:vAlign w:val="center"/>
                                </w:tcPr>
                                <w:p>
                                  <w:pPr>
                                    <w:pStyle w:val="TableContents"/>
                                    <w:bidi w:val="0"/>
                                    <w:spacing w:before="0" w:after="283"/>
                                    <w:jc w:val="left"/>
                                    <w:rPr>
                                      <w:sz w:val="4"/>
                                      <w:szCs w:val="4"/>
                                    </w:rPr>
                                  </w:pPr>
                                  <w:r>
                                    <w:rPr>
                                      <w:sz w:val="4"/>
                                      <w:szCs w:val="4"/>
                                    </w:rPr>
                                  </w:r>
                                </w:p>
                              </w:tc>
                              <w:tc>
                                <w:tcPr>
                                  <w:tcW w:w="1091" w:type="dxa"/>
                                  <w:tcBorders/>
                                  <w:shd w:fill="1F273B" w:val="clear"/>
                                  <w:vAlign w:val="center"/>
                                </w:tcPr>
                                <w:p>
                                  <w:pPr>
                                    <w:pStyle w:val="TableContents"/>
                                    <w:bidi w:val="0"/>
                                    <w:spacing w:before="0" w:after="283"/>
                                    <w:jc w:val="left"/>
                                    <w:rPr>
                                      <w:sz w:val="4"/>
                                      <w:szCs w:val="4"/>
                                    </w:rPr>
                                  </w:pPr>
                                  <w:r>
                                    <w:rPr>
                                      <w:sz w:val="4"/>
                                      <w:szCs w:val="4"/>
                                    </w:rPr>
                                  </w:r>
                                </w:p>
                              </w:tc>
                              <w:tc>
                                <w:tcPr>
                                  <w:tcW w:w="1151" w:type="dxa"/>
                                  <w:tcBorders/>
                                  <w:shd w:fill="1F273B" w:val="clear"/>
                                  <w:vAlign w:val="center"/>
                                </w:tcPr>
                                <w:p>
                                  <w:pPr>
                                    <w:pStyle w:val="TableContents"/>
                                    <w:bidi w:val="0"/>
                                    <w:spacing w:before="0" w:after="283"/>
                                    <w:jc w:val="left"/>
                                    <w:rPr>
                                      <w:sz w:val="4"/>
                                      <w:szCs w:val="4"/>
                                    </w:rPr>
                                  </w:pPr>
                                  <w:r>
                                    <w:rPr>
                                      <w:sz w:val="4"/>
                                      <w:szCs w:val="4"/>
                                    </w:rPr>
                                  </w:r>
                                </w:p>
                              </w:tc>
                              <w:tc>
                                <w:tcPr>
                                  <w:tcW w:w="1076" w:type="dxa"/>
                                  <w:tcBorders/>
                                  <w:shd w:fill="1F273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Agency CMBS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E6F2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 Year Fixed Rate Pools</w:t>
                                  </w:r>
                                </w:p>
                              </w:tc>
                              <w:tc>
                                <w:tcPr>
                                  <w:tcW w:w="1091" w:type="dxa"/>
                                  <w:tcBorders/>
                                  <w:shd w:fill="E6F2FF" w:val="clear"/>
                                  <w:vAlign w:val="center"/>
                                </w:tcPr>
                                <w:p>
                                  <w:pPr>
                                    <w:pStyle w:val="TableContents"/>
                                    <w:bidi w:val="0"/>
                                    <w:spacing w:before="0" w:after="283"/>
                                    <w:jc w:val="left"/>
                                    <w:rPr>
                                      <w:sz w:val="4"/>
                                      <w:szCs w:val="4"/>
                                    </w:rPr>
                                  </w:pPr>
                                  <w:r>
                                    <w:rPr>
                                      <w:sz w:val="4"/>
                                      <w:szCs w:val="4"/>
                                    </w:rPr>
                                  </w:r>
                                </w:p>
                              </w:tc>
                              <w:tc>
                                <w:tcPr>
                                  <w:tcW w:w="1151" w:type="dxa"/>
                                  <w:tcBorders/>
                                  <w:shd w:fill="E6F2FF" w:val="clear"/>
                                  <w:vAlign w:val="center"/>
                                </w:tcPr>
                                <w:p>
                                  <w:pPr>
                                    <w:pStyle w:val="TableContents"/>
                                    <w:bidi w:val="0"/>
                                    <w:spacing w:before="0" w:after="283"/>
                                    <w:jc w:val="left"/>
                                    <w:rPr>
                                      <w:sz w:val="4"/>
                                      <w:szCs w:val="4"/>
                                    </w:rPr>
                                  </w:pPr>
                                  <w:r>
                                    <w:rPr>
                                      <w:sz w:val="4"/>
                                      <w:szCs w:val="4"/>
                                    </w:rPr>
                                  </w:r>
                                </w:p>
                              </w:tc>
                              <w:tc>
                                <w:tcPr>
                                  <w:tcW w:w="1076" w:type="dxa"/>
                                  <w:tcBorders/>
                                  <w:shd w:fill="E6F2FF"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Conventionals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2.0s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2.5s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3.0s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3.5s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4.0s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5.0s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6.0s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6.5s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Ginnie Mae</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Agency Portfolio</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UMBS 30yr 5.5 TBA</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UMBS 30yr 6.0 TBA</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 xml:space="preserve">UMBS 30yr 6.5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Net TBA Positions</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5yr US Treasury Longs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bottom w:val="single" w:sz="8" w:space="0" w:color="40AEFF"/>
                                  </w:tcBorders>
                                  <w:shd w:fill="DBDBDB"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US Treasury Long Positions</w:t>
                                  </w:r>
                                </w:p>
                              </w:tc>
                              <w:tc>
                                <w:tcPr>
                                  <w:tcW w:w="109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op w:val="single" w:sz="8" w:space="0" w:color="40AEFF"/>
                                    <w:left w:val="single" w:sz="8" w:space="0" w:color="40AEFF"/>
                                    <w:bottom w:val="single" w:sz="8" w:space="0" w:color="40AEFF"/>
                                  </w:tcBorders>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Total Portfolio</w:t>
                                  </w:r>
                                </w:p>
                              </w:tc>
                              <w:tc>
                                <w:tcPr>
                                  <w:tcW w:w="109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40AEFF"/>
                                    <w:bottom w:val="single" w:sz="8" w:space="0" w:color="40AEFF"/>
                                    <w:right w:val="single" w:sz="8" w:space="0" w:color="40AEFF"/>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553.4pt;mso-wrap-distance-left:0pt;mso-wrap-distance-right:0pt;mso-wrap-distance-top:0pt;mso-wrap-distance-bottom:0pt;margin-top:0pt;mso-position-vertical:top;mso-position-vertical-relative:text;margin-left:18pt;mso-position-horizontal-relative:page">
                <v:textbox>
                  <w:txbxContent>
                    <w:tbl>
                      <w:tblPr>
                        <w:tblW w:w="5804" w:type="dxa"/>
                        <w:jc w:val="left"/>
                        <w:tblInd w:w="0" w:type="dxa"/>
                        <w:tblLayout w:type="fixed"/>
                        <w:tblCellMar>
                          <w:top w:w="28" w:type="dxa"/>
                          <w:left w:w="28" w:type="dxa"/>
                          <w:bottom w:w="28" w:type="dxa"/>
                          <w:right w:w="28" w:type="dxa"/>
                        </w:tblCellMar>
                      </w:tblPr>
                      <w:tblGrid>
                        <w:gridCol w:w="2486"/>
                        <w:gridCol w:w="1091"/>
                        <w:gridCol w:w="1151"/>
                        <w:gridCol w:w="1076"/>
                      </w:tblGrid>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1F273B" w:val="clear"/>
                            <w:vAlign w:val="center"/>
                          </w:tcPr>
                          <w:p>
                            <w:pPr>
                              <w:pStyle w:val="TableContents"/>
                              <w:bidi w:val="0"/>
                              <w:spacing w:before="0" w:after="283"/>
                              <w:jc w:val="left"/>
                              <w:rPr>
                                <w:sz w:val="4"/>
                                <w:szCs w:val="4"/>
                              </w:rPr>
                            </w:pPr>
                            <w:r>
                              <w:rPr>
                                <w:sz w:val="4"/>
                                <w:szCs w:val="4"/>
                              </w:rPr>
                            </w:r>
                          </w:p>
                        </w:tc>
                        <w:tc>
                          <w:tcPr>
                            <w:tcW w:w="1091" w:type="dxa"/>
                            <w:tcBorders/>
                            <w:shd w:fill="1F273B" w:val="clear"/>
                            <w:vAlign w:val="center"/>
                          </w:tcPr>
                          <w:p>
                            <w:pPr>
                              <w:pStyle w:val="TableContents"/>
                              <w:bidi w:val="0"/>
                              <w:spacing w:before="0" w:after="283"/>
                              <w:jc w:val="left"/>
                              <w:rPr>
                                <w:sz w:val="4"/>
                                <w:szCs w:val="4"/>
                              </w:rPr>
                            </w:pPr>
                            <w:r>
                              <w:rPr>
                                <w:sz w:val="4"/>
                                <w:szCs w:val="4"/>
                              </w:rPr>
                            </w:r>
                          </w:p>
                        </w:tc>
                        <w:tc>
                          <w:tcPr>
                            <w:tcW w:w="1151" w:type="dxa"/>
                            <w:tcBorders/>
                            <w:shd w:fill="1F273B" w:val="clear"/>
                            <w:vAlign w:val="center"/>
                          </w:tcPr>
                          <w:p>
                            <w:pPr>
                              <w:pStyle w:val="TableContents"/>
                              <w:bidi w:val="0"/>
                              <w:spacing w:before="0" w:after="283"/>
                              <w:jc w:val="left"/>
                              <w:rPr>
                                <w:sz w:val="4"/>
                                <w:szCs w:val="4"/>
                              </w:rPr>
                            </w:pPr>
                            <w:r>
                              <w:rPr>
                                <w:sz w:val="4"/>
                                <w:szCs w:val="4"/>
                              </w:rPr>
                            </w:r>
                          </w:p>
                        </w:tc>
                        <w:tc>
                          <w:tcPr>
                            <w:tcW w:w="1076" w:type="dxa"/>
                            <w:tcBorders/>
                            <w:shd w:fill="1F273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Agency CMBS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E6F2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 Year Fixed Rate Pools</w:t>
                            </w:r>
                          </w:p>
                        </w:tc>
                        <w:tc>
                          <w:tcPr>
                            <w:tcW w:w="1091" w:type="dxa"/>
                            <w:tcBorders/>
                            <w:shd w:fill="E6F2FF" w:val="clear"/>
                            <w:vAlign w:val="center"/>
                          </w:tcPr>
                          <w:p>
                            <w:pPr>
                              <w:pStyle w:val="TableContents"/>
                              <w:bidi w:val="0"/>
                              <w:spacing w:before="0" w:after="283"/>
                              <w:jc w:val="left"/>
                              <w:rPr>
                                <w:sz w:val="4"/>
                                <w:szCs w:val="4"/>
                              </w:rPr>
                            </w:pPr>
                            <w:r>
                              <w:rPr>
                                <w:sz w:val="4"/>
                                <w:szCs w:val="4"/>
                              </w:rPr>
                            </w:r>
                          </w:p>
                        </w:tc>
                        <w:tc>
                          <w:tcPr>
                            <w:tcW w:w="1151" w:type="dxa"/>
                            <w:tcBorders/>
                            <w:shd w:fill="E6F2FF" w:val="clear"/>
                            <w:vAlign w:val="center"/>
                          </w:tcPr>
                          <w:p>
                            <w:pPr>
                              <w:pStyle w:val="TableContents"/>
                              <w:bidi w:val="0"/>
                              <w:spacing w:before="0" w:after="283"/>
                              <w:jc w:val="left"/>
                              <w:rPr>
                                <w:sz w:val="4"/>
                                <w:szCs w:val="4"/>
                              </w:rPr>
                            </w:pPr>
                            <w:r>
                              <w:rPr>
                                <w:sz w:val="4"/>
                                <w:szCs w:val="4"/>
                              </w:rPr>
                            </w:r>
                          </w:p>
                        </w:tc>
                        <w:tc>
                          <w:tcPr>
                            <w:tcW w:w="1076" w:type="dxa"/>
                            <w:tcBorders/>
                            <w:shd w:fill="E6F2FF"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Conventionals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2.0s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2.5s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3.0s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3.5s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4.0s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5.0s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6.0s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6.5s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Ginnie Mae</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Agency Portfolio</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UMBS 30yr 5.5 TBA</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UMBS 30yr 6.0 TBA</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 xml:space="preserve">UMBS 30yr 6.5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Net TBA Positions</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5yr US Treasury Longs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bottom w:val="single" w:sz="8" w:space="0" w:color="40AEFF"/>
                            </w:tcBorders>
                            <w:shd w:fill="DBDBDB"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US Treasury Long Positions</w:t>
                            </w:r>
                          </w:p>
                        </w:tc>
                        <w:tc>
                          <w:tcPr>
                            <w:tcW w:w="109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op w:val="single" w:sz="8" w:space="0" w:color="40AEFF"/>
                              <w:left w:val="single" w:sz="8" w:space="0" w:color="40AEFF"/>
                              <w:bottom w:val="single" w:sz="8" w:space="0" w:color="40AEFF"/>
                            </w:tcBorders>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Total Portfolio</w:t>
                            </w:r>
                          </w:p>
                        </w:tc>
                        <w:tc>
                          <w:tcPr>
                            <w:tcW w:w="109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40AEFF"/>
                              <w:bottom w:val="single" w:sz="8" w:space="0" w:color="40AEFF"/>
                              <w:right w:val="single" w:sz="8" w:space="0" w:color="40AEFF"/>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228600</wp:posOffset>
                </wp:positionH>
                <wp:positionV relativeFrom="line">
                  <wp:posOffset>635</wp:posOffset>
                </wp:positionV>
                <wp:extent cx="860425" cy="292100"/>
                <wp:effectExtent l="0" t="0" r="0" b="0"/>
                <wp:wrapNone/>
                <wp:docPr id="11" name="Frame23"/>
                <a:graphic xmlns:a="http://schemas.openxmlformats.org/drawingml/2006/main">
                  <a:graphicData uri="http://schemas.microsoft.com/office/word/2010/wordprocessingShape">
                    <wps:wsp>
                      <wps:cNvSpPr txBox="1"/>
                      <wps:spPr>
                        <a:xfrm>
                          <a:off x="0" y="0"/>
                          <a:ext cx="860425"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Securities LLC.</w:t>
                            </w:r>
                          </w:p>
                        </w:txbxContent>
                      </wps:txbx>
                      <wps:bodyPr anchor="t" lIns="0" tIns="0" rIns="0" bIns="0">
                        <a:noAutofit/>
                      </wps:bodyPr>
                    </wps:wsp>
                  </a:graphicData>
                </a:graphic>
              </wp:anchor>
            </w:drawing>
          </mc:Choice>
          <mc:Fallback>
            <w:pict>
              <v:rect style="position:absolute;rotation:-0;width:67.75pt;height:23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Securities LLC.</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7541895</wp:posOffset>
                </wp:positionH>
                <wp:positionV relativeFrom="line">
                  <wp:posOffset>635</wp:posOffset>
                </wp:positionV>
                <wp:extent cx="34925" cy="175260"/>
                <wp:effectExtent l="0" t="0" r="0" b="0"/>
                <wp:wrapNone/>
                <wp:docPr id="12" name="Frame2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228600</wp:posOffset>
                </wp:positionH>
                <wp:positionV relativeFrom="line">
                  <wp:posOffset>635</wp:posOffset>
                </wp:positionV>
                <wp:extent cx="7313295" cy="146050"/>
                <wp:effectExtent l="0" t="0" r="0" b="0"/>
                <wp:wrapNone/>
                <wp:docPr id="13" name="Frame21"/>
                <a:graphic xmlns:a="http://schemas.openxmlformats.org/drawingml/2006/main">
                  <a:graphicData uri="http://schemas.microsoft.com/office/word/2010/wordprocessingShape">
                    <wps:wsp>
                      <wps:cNvSpPr txBox="1"/>
                      <wps:spPr>
                        <a:xfrm>
                          <a:off x="0" y="0"/>
                          <a:ext cx="731329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Securities, LLC, is the largest provider of repurchase financing to ARMOUR. ARMOUR owns a 10.8% equity interest in BUCKLER</w:t>
                            </w:r>
                          </w:p>
                        </w:txbxContent>
                      </wps:txbx>
                      <wps:bodyPr anchor="t" lIns="0" tIns="0" rIns="0" bIns="0">
                        <a:noAutofit/>
                      </wps:bodyPr>
                    </wps:wsp>
                  </a:graphicData>
                </a:graphic>
              </wp:anchor>
            </w:drawing>
          </mc:Choice>
          <mc:Fallback>
            <w:pict>
              <v:rect style="position:absolute;rotation:-0;width:575.8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Securities, LLC, is the largest provider of repurchase financing to ARMOUR. ARMOUR owns a 10.8% equity interest in BUCKLER</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7543165</wp:posOffset>
                </wp:positionH>
                <wp:positionV relativeFrom="line">
                  <wp:posOffset>635</wp:posOffset>
                </wp:positionV>
                <wp:extent cx="34925" cy="175260"/>
                <wp:effectExtent l="0" t="0" r="0" b="0"/>
                <wp:wrapNone/>
                <wp:docPr id="14" name="Frame2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228600</wp:posOffset>
                </wp:positionH>
                <wp:positionV relativeFrom="line">
                  <wp:posOffset>635</wp:posOffset>
                </wp:positionV>
                <wp:extent cx="7314565" cy="146050"/>
                <wp:effectExtent l="0" t="0" r="0" b="0"/>
                <wp:wrapNone/>
                <wp:docPr id="15" name="Frame19"/>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common control with BUCKLER Securities LLC, an SEC registered broker-dealer and a member of FICC and FINRA. BUCKLER</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common control with BUCKLER Securities LLC, an SEC registered broker-dealer and a member of FICC and FINRA. BUCKLER</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7542530</wp:posOffset>
                </wp:positionH>
                <wp:positionV relativeFrom="line">
                  <wp:posOffset>635</wp:posOffset>
                </wp:positionV>
                <wp:extent cx="34925" cy="175260"/>
                <wp:effectExtent l="0" t="0" r="0" b="0"/>
                <wp:wrapNone/>
                <wp:docPr id="16" name="Frame1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228600</wp:posOffset>
                </wp:positionH>
                <wp:positionV relativeFrom="line">
                  <wp:posOffset>635</wp:posOffset>
                </wp:positionV>
                <wp:extent cx="7313930" cy="146050"/>
                <wp:effectExtent l="0" t="0" r="0" b="0"/>
                <wp:wrapNone/>
                <wp:docPr id="17" name="Frame17"/>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ARMOUR is externally managed by ARMOUR Capital Management LP, an SEC registered investment advisor, which is under</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ARMOUR is externally managed by ARMOUR Capital Management LP, an SEC registered investment advisor, which is under</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228600</wp:posOffset>
                </wp:positionH>
                <wp:positionV relativeFrom="line">
                  <wp:posOffset>635</wp:posOffset>
                </wp:positionV>
                <wp:extent cx="5142230" cy="292100"/>
                <wp:effectExtent l="0" t="0" r="0" b="0"/>
                <wp:wrapNone/>
                <wp:docPr id="18" name="Frame16"/>
                <a:graphic xmlns:a="http://schemas.openxmlformats.org/drawingml/2006/main">
                  <a:graphicData uri="http://schemas.microsoft.com/office/word/2010/wordprocessingShape">
                    <wps:wsp>
                      <wps:cNvSpPr txBox="1"/>
                      <wps:spPr>
                        <a:xfrm>
                          <a:off x="0" y="0"/>
                          <a:ext cx="514223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appropriate for the intermediate term rather than focusing on short-term market fluctuations.</w:t>
                            </w:r>
                          </w:p>
                        </w:txbxContent>
                      </wps:txbx>
                      <wps:bodyPr anchor="t" lIns="0" tIns="0" rIns="0" bIns="0">
                        <a:noAutofit/>
                      </wps:bodyPr>
                    </wps:wsp>
                  </a:graphicData>
                </a:graphic>
              </wp:anchor>
            </w:drawing>
          </mc:Choice>
          <mc:Fallback>
            <w:pict>
              <v:rect style="position:absolute;rotation:-0;width:404.9pt;height:23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appropriate for the intermediate term rather than focusing on short-term market fluctuations.</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228600</wp:posOffset>
                </wp:positionH>
                <wp:positionV relativeFrom="line">
                  <wp:posOffset>635</wp:posOffset>
                </wp:positionV>
                <wp:extent cx="7313930" cy="146050"/>
                <wp:effectExtent l="0" t="0" r="0" b="0"/>
                <wp:wrapNone/>
                <wp:docPr id="19" name="Frame4"/>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ARMOUR Residential REIT, Inc. (“ARMOUR”; NYSE: ARR) brings private capital into the mortgage markets to support home</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ARMOUR Residential REIT, Inc. (“ARMOUR”; NYSE: ARR) brings private capital into the mortgage markets to support home</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228600</wp:posOffset>
                </wp:positionH>
                <wp:positionV relativeFrom="line">
                  <wp:posOffset>635</wp:posOffset>
                </wp:positionV>
                <wp:extent cx="7313930" cy="146050"/>
                <wp:effectExtent l="0" t="0" r="0" b="0"/>
                <wp:wrapNone/>
                <wp:docPr id="20" name="Frame14"/>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hedging and liquidity strategies to moderate interest rate and MBS price risk. We prioritize maintaining common share dividends</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hedging and liquidity strategies to moderate interest rate and MBS price risk. We prioritize maintaining common share dividends</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7543165</wp:posOffset>
                </wp:positionH>
                <wp:positionV relativeFrom="line">
                  <wp:posOffset>635</wp:posOffset>
                </wp:positionV>
                <wp:extent cx="34925" cy="175260"/>
                <wp:effectExtent l="0" t="0" r="0" b="0"/>
                <wp:wrapNone/>
                <wp:docPr id="21" name="Frame1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228600</wp:posOffset>
                </wp:positionH>
                <wp:positionV relativeFrom="line">
                  <wp:posOffset>635</wp:posOffset>
                </wp:positionV>
                <wp:extent cx="7314565" cy="146050"/>
                <wp:effectExtent l="0" t="0" r="0" b="0"/>
                <wp:wrapNone/>
                <wp:docPr id="22" name="Frame12"/>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analysis and selection, (ii) access to equity capital and repurchase financing at potentially attractive rates and terms, and (iii)</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analysis and selection, (ii) access to equity capital and repurchase financing at potentially attractive rates and terms, and (iii)</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7543165</wp:posOffset>
                </wp:positionH>
                <wp:positionV relativeFrom="line">
                  <wp:posOffset>635</wp:posOffset>
                </wp:positionV>
                <wp:extent cx="34925" cy="175260"/>
                <wp:effectExtent l="0" t="0" r="0" b="0"/>
                <wp:wrapNone/>
                <wp:docPr id="23" name="Frame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228600</wp:posOffset>
                </wp:positionH>
                <wp:positionV relativeFrom="line">
                  <wp:posOffset>635</wp:posOffset>
                </wp:positionV>
                <wp:extent cx="7314565" cy="146050"/>
                <wp:effectExtent l="0" t="0" r="0" b="0"/>
                <wp:wrapNone/>
                <wp:docPr id="24" name="Frame10"/>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Government-sponsored entities. We rely on the decades of experience of our management team for (i) MBS securities portfolio</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Government-sponsored entities. We rely on the decades of experience of our management team for (i) MBS securities portfolio</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7543165</wp:posOffset>
                </wp:positionH>
                <wp:positionV relativeFrom="line">
                  <wp:posOffset>635</wp:posOffset>
                </wp:positionV>
                <wp:extent cx="34925" cy="175260"/>
                <wp:effectExtent l="0" t="0" r="0" b="0"/>
                <wp:wrapNone/>
                <wp:docPr id="25" name="Frame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228600</wp:posOffset>
                </wp:positionH>
                <wp:positionV relativeFrom="line">
                  <wp:posOffset>635</wp:posOffset>
                </wp:positionV>
                <wp:extent cx="7314565" cy="146050"/>
                <wp:effectExtent l="0" t="0" r="0" b="0"/>
                <wp:wrapNone/>
                <wp:docPr id="26" name="Frame8"/>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and risk management of a leveraged and diversified portfolio of mortgage-backed securities issued or guaranteed by U.S</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and risk management of a leveraged and diversified portfolio of mortgage-backed securities issued or guaranteed by U.S</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7543800</wp:posOffset>
                </wp:positionH>
                <wp:positionV relativeFrom="line">
                  <wp:posOffset>635</wp:posOffset>
                </wp:positionV>
                <wp:extent cx="34925" cy="175260"/>
                <wp:effectExtent l="0" t="0" r="0" b="0"/>
                <wp:wrapNone/>
                <wp:docPr id="27" name="Frame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228600</wp:posOffset>
                </wp:positionH>
                <wp:positionV relativeFrom="line">
                  <wp:posOffset>635</wp:posOffset>
                </wp:positionV>
                <wp:extent cx="7315200" cy="146050"/>
                <wp:effectExtent l="0" t="0" r="0" b="0"/>
                <wp:wrapNone/>
                <wp:docPr id="28" name="Frame6"/>
                <a:graphic xmlns:a="http://schemas.openxmlformats.org/drawingml/2006/main">
                  <a:graphicData uri="http://schemas.microsoft.com/office/word/2010/wordprocessingShape">
                    <wps:wsp>
                      <wps:cNvSpPr txBox="1"/>
                      <wps:spPr>
                        <a:xfrm>
                          <a:off x="0" y="0"/>
                          <a:ext cx="73152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ownership for a broad and diverse spectrum of homeowners. We seek to create shareholder value through thoughtful investment</w:t>
                            </w:r>
                          </w:p>
                        </w:txbxContent>
                      </wps:txbx>
                      <wps:bodyPr anchor="t" lIns="0" tIns="0" rIns="0" bIns="0">
                        <a:noAutofit/>
                      </wps:bodyPr>
                    </wps:wsp>
                  </a:graphicData>
                </a:graphic>
              </wp:anchor>
            </w:drawing>
          </mc:Choice>
          <mc:Fallback>
            <w:pict>
              <v:rect style="position:absolute;rotation:-0;width:576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255CB"/>
                          <w:sz w:val="20"/>
                          <w:u w:val="none"/>
                          <w:effect w:val="none"/>
                        </w:rPr>
                      </w:pPr>
                      <w:r>
                        <w:rPr>
                          <w:rFonts w:ascii="Arial;sans-serif" w:hAnsi="Arial;sans-serif"/>
                          <w:b w:val="false"/>
                          <w:i w:val="false"/>
                          <w:caps w:val="false"/>
                          <w:smallCaps w:val="false"/>
                          <w:strike w:val="false"/>
                          <w:dstrike w:val="false"/>
                          <w:color w:val="0255CB"/>
                          <w:sz w:val="20"/>
                          <w:u w:val="none"/>
                          <w:effect w:val="none"/>
                        </w:rPr>
                        <w:t>ownership for a broad and diverse spectrum of homeowners. We seek to create shareholder value through thoughtful investment</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7542530</wp:posOffset>
                </wp:positionH>
                <wp:positionV relativeFrom="line">
                  <wp:posOffset>635</wp:posOffset>
                </wp:positionV>
                <wp:extent cx="34925" cy="175260"/>
                <wp:effectExtent l="0" t="0" r="0" b="0"/>
                <wp:wrapNone/>
                <wp:docPr id="29" name="Frame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29000" cy="116840"/>
                <wp:effectExtent l="0" t="0" r="0" b="0"/>
                <wp:wrapNone/>
                <wp:docPr id="30" name="Frame110"/>
                <a:graphic xmlns:a="http://schemas.openxmlformats.org/drawingml/2006/main">
                  <a:graphicData uri="http://schemas.microsoft.com/office/word/2010/wordprocessingShape">
                    <wps:wsp>
                      <wps:cNvSpPr txBox="1"/>
                      <wps:spPr>
                        <a:xfrm>
                          <a:off x="0" y="0"/>
                          <a:ext cx="3429000" cy="11684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Portfolio CPR</w:t>
                            </w:r>
                          </w:p>
                        </w:txbxContent>
                      </wps:txbx>
                      <wps:bodyPr anchor="t" lIns="0" tIns="0" rIns="0" bIns="0">
                        <a:noAutofit/>
                      </wps:bodyPr>
                    </wps:wsp>
                  </a:graphicData>
                </a:graphic>
              </wp:anchor>
            </w:drawing>
          </mc:Choice>
          <mc:Fallback>
            <w:pict>
              <v:rect style="position:absolute;rotation:-0;width:270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Portfolio CPR</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429000" cy="116840"/>
                <wp:effectExtent l="0" t="0" r="0" b="0"/>
                <wp:wrapNone/>
                <wp:docPr id="31" name="Frame98"/>
                <a:graphic xmlns:a="http://schemas.openxmlformats.org/drawingml/2006/main">
                  <a:graphicData uri="http://schemas.microsoft.com/office/word/2010/wordprocessingShape">
                    <wps:wsp>
                      <wps:cNvSpPr txBox="1"/>
                      <wps:spPr>
                        <a:xfrm>
                          <a:off x="0" y="0"/>
                          <a:ext cx="3429000" cy="11684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Key Data</w:t>
                            </w:r>
                          </w:p>
                        </w:txbxContent>
                      </wps:txbx>
                      <wps:bodyPr anchor="t" lIns="0" tIns="0" rIns="0" bIns="0">
                        <a:noAutofit/>
                      </wps:bodyPr>
                    </wps:wsp>
                  </a:graphicData>
                </a:graphic>
              </wp:anchor>
            </w:drawing>
          </mc:Choice>
          <mc:Fallback>
            <w:pict>
              <v:rect style="position:absolute;rotation:-0;width:270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Key Data</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4475" cy="233680"/>
                <wp:effectExtent l="0" t="0" r="0" b="0"/>
                <wp:wrapNone/>
                <wp:docPr id="32" name="Frame25"/>
                <a:graphic xmlns:a="http://schemas.openxmlformats.org/drawingml/2006/main">
                  <a:graphicData uri="http://schemas.microsoft.com/office/word/2010/wordprocessingShape">
                    <wps:wsp>
                      <wps:cNvSpPr txBox="1"/>
                      <wps:spPr>
                        <a:xfrm>
                          <a:off x="0" y="0"/>
                          <a:ext cx="15144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Portfolio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wps:txbx>
                      <wps:bodyPr anchor="t" lIns="0" tIns="0" rIns="0" bIns="0">
                        <a:noAutofit/>
                      </wps:bodyPr>
                    </wps:wsp>
                  </a:graphicData>
                </a:graphic>
              </wp:anchor>
            </w:drawing>
          </mc:Choice>
          <mc:Fallback>
            <w:pict>
              <v:rect style="position:absolute;rotation:-0;width:119.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Portfolio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1514475</wp:posOffset>
                </wp:positionH>
                <wp:positionV relativeFrom="line">
                  <wp:posOffset>635</wp:posOffset>
                </wp:positionV>
                <wp:extent cx="638175" cy="233680"/>
                <wp:effectExtent l="0" t="0" r="0" b="0"/>
                <wp:wrapNone/>
                <wp:docPr id="33" name="Frame26"/>
                <a:graphic xmlns:a="http://schemas.openxmlformats.org/drawingml/2006/main">
                  <a:graphicData uri="http://schemas.microsoft.com/office/word/2010/wordprocessingShape">
                    <wps:wsp>
                      <wps:cNvSpPr txBox="1"/>
                      <wps:spPr>
                        <a:xfrm>
                          <a:off x="0" y="0"/>
                          <a:ext cx="6381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Portfolio</w:t>
                            </w:r>
                          </w:p>
                        </w:txbxContent>
                      </wps:txbx>
                      <wps:bodyPr anchor="t" lIns="0" tIns="0" rIns="0" bIns="0">
                        <a:noAutofit/>
                      </wps:bodyPr>
                    </wps:wsp>
                  </a:graphicData>
                </a:graphic>
              </wp:anchor>
            </w:drawing>
          </mc:Choice>
          <mc:Fallback>
            <w:pict>
              <v:rect style="position:absolute;rotation:-0;width:50.25pt;height:18.4pt;mso-wrap-distance-left:0pt;mso-wrap-distance-right:0pt;mso-wrap-distance-top:0pt;mso-wrap-distance-bottom:0pt;margin-top:0pt;mso-position-vertical:top;mso-position-vertical-relative:text;margin-left:119.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Portfolio</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2152650</wp:posOffset>
                </wp:positionH>
                <wp:positionV relativeFrom="line">
                  <wp:posOffset>635</wp:posOffset>
                </wp:positionV>
                <wp:extent cx="676275" cy="350520"/>
                <wp:effectExtent l="0" t="0" r="0" b="0"/>
                <wp:wrapNone/>
                <wp:docPr id="34" name="Frame27"/>
                <a:graphic xmlns:a="http://schemas.openxmlformats.org/drawingml/2006/main">
                  <a:graphicData uri="http://schemas.microsoft.com/office/word/2010/wordprocessingShape">
                    <wps:wsp>
                      <wps:cNvSpPr txBox="1"/>
                      <wps:spPr>
                        <a:xfrm>
                          <a:off x="0" y="0"/>
                          <a:ext cx="676275"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Market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Value (in $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millions)</w:t>
                            </w:r>
                          </w:p>
                        </w:txbxContent>
                      </wps:txbx>
                      <wps:bodyPr anchor="t" lIns="0" tIns="0" rIns="0" bIns="0">
                        <a:noAutofit/>
                      </wps:bodyPr>
                    </wps:wsp>
                  </a:graphicData>
                </a:graphic>
              </wp:anchor>
            </w:drawing>
          </mc:Choice>
          <mc:Fallback>
            <w:pict>
              <v:rect style="position:absolute;rotation:-0;width:53.25pt;height:27.6pt;mso-wrap-distance-left:0pt;mso-wrap-distance-right:0pt;mso-wrap-distance-top:0pt;mso-wrap-distance-bottom:0pt;margin-top:0pt;mso-position-vertical:top;mso-position-vertical-relative:text;margin-left:169.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Market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Value (in $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millions)</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2828925</wp:posOffset>
                </wp:positionH>
                <wp:positionV relativeFrom="line">
                  <wp:posOffset>635</wp:posOffset>
                </wp:positionV>
                <wp:extent cx="600075" cy="233680"/>
                <wp:effectExtent l="0" t="0" r="0" b="0"/>
                <wp:wrapNone/>
                <wp:docPr id="35" name="Frame28"/>
                <a:graphic xmlns:a="http://schemas.openxmlformats.org/drawingml/2006/main">
                  <a:graphicData uri="http://schemas.microsoft.com/office/word/2010/wordprocessingShape">
                    <wps:wsp>
                      <wps:cNvSpPr txBox="1"/>
                      <wps:spPr>
                        <a:xfrm>
                          <a:off x="0" y="0"/>
                          <a:ext cx="6000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Effective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Duration</w:t>
                            </w:r>
                          </w:p>
                        </w:txbxContent>
                      </wps:txbx>
                      <wps:bodyPr anchor="t" lIns="0" tIns="0" rIns="0" bIns="0">
                        <a:noAutofit/>
                      </wps:bodyPr>
                    </wps:wsp>
                  </a:graphicData>
                </a:graphic>
              </wp:anchor>
            </w:drawing>
          </mc:Choice>
          <mc:Fallback>
            <w:pict>
              <v:rect style="position:absolute;rotation:-0;width:47.25pt;height:18.4pt;mso-wrap-distance-left:0pt;mso-wrap-distance-right:0pt;mso-wrap-distance-top:0pt;mso-wrap-distance-bottom:0pt;margin-top:0pt;mso-position-vertical:top;mso-position-vertical-relative:text;margin-left:222.7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Effective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Duration</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7772400" cy="10060305"/>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5"/>
                    <a:stretch>
                      <a:fillRect/>
                    </a:stretch>
                  </pic:blipFill>
                  <pic:spPr bwMode="auto">
                    <a:xfrm>
                      <a:off x="0" y="0"/>
                      <a:ext cx="7772400" cy="10060305"/>
                    </a:xfrm>
                    <a:prstGeom prst="rect">
                      <a:avLst/>
                    </a:prstGeom>
                  </pic:spPr>
                </pic:pic>
              </a:graphicData>
            </a:graphic>
          </wp:inline>
        </w:drawing>
      </w:r>
    </w:p>
    <w:p>
      <w:pPr>
        <w:pStyle w:val="TextBody"/>
        <w:bidi w:val="0"/>
        <w:spacing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0255CB"/>
          <w:sz w:val="16"/>
          <w:u w:val="none"/>
          <w:effect w:val="none"/>
          <w:shd w:fill="E4E4E4" w:val="clear"/>
        </w:rPr>
        <w:t>Portfolio and Key Data as of 09/30/26, except CPR which is as of 10/06/26</w:t>
      </w:r>
      <w:r>
        <w:rPr>
          <w:rFonts w:ascii="Arial;sans-serif" w:hAnsi="Arial;sans-serif"/>
          <w:caps w:val="false"/>
          <w:smallCaps w:val="false"/>
          <w:strike w:val="false"/>
          <w:dstrike w:val="false"/>
          <w:color w:val="0255CB"/>
          <w:sz w:val="24"/>
          <w:u w:val="none"/>
          <w:effect w:val="none"/>
          <w:shd w:fill="E4E4E4" w:val="clear"/>
        </w:rPr>
        <w:t xml:space="preserve"> </w:t>
      </w:r>
      <w:r>
        <w:rPr>
          <w:rFonts w:ascii="Arial;sans-serif" w:hAnsi="Arial;sans-serif"/>
          <w:b w:val="false"/>
          <w:i w:val="false"/>
          <w:caps w:val="false"/>
          <w:smallCaps w:val="false"/>
          <w:strike w:val="false"/>
          <w:dstrike w:val="false"/>
          <w:color w:val="0255CB"/>
          <w:sz w:val="16"/>
          <w:u w:val="none"/>
          <w:effect w:val="none"/>
          <w:shd w:fill="E4E4E4" w:val="clear"/>
        </w:rPr>
        <w:t>or as stated otherwise.</w:t>
      </w:r>
    </w:p>
    <w:p>
      <w:pPr>
        <w:pStyle w:val="TextBody"/>
        <w:bidi w:val="0"/>
        <w:spacing w:before="0" w:after="0"/>
        <w:jc w:val="left"/>
        <w:rPr>
          <w:shd w:fill="E4E4E4" w:val="clear"/>
        </w:rPr>
      </w:pPr>
      <w:r>
        <w:rPr>
          <w:shd w:fill="E4E4E4" w:val="clear"/>
        </w:rPr>
        <w:drawing>
          <wp:inline distT="0" distB="0" distL="0" distR="0">
            <wp:extent cx="889000" cy="222250"/>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6"/>
                    <a:stretch>
                      <a:fillRect/>
                    </a:stretch>
                  </pic:blipFill>
                  <pic:spPr bwMode="auto">
                    <a:xfrm>
                      <a:off x="0" y="0"/>
                      <a:ext cx="889000" cy="2222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33" w:before="0" w:after="0"/>
        <w:jc w:val="left"/>
        <w:rPr>
          <w:rFonts w:ascii="Arial;sans-serif" w:hAnsi="Arial;sans-serif"/>
          <w:sz w:val="32"/>
          <w:shd w:fill="E4E4E4" w:val="clear"/>
        </w:rPr>
      </w:pPr>
      <w:r>
        <w:rPr>
          <w:rFonts w:ascii="Arial;sans-serif" w:hAnsi="Arial;sans-serif"/>
          <w:b w:val="false"/>
          <w:i w:val="false"/>
          <w:caps w:val="false"/>
          <w:smallCaps w:val="false"/>
          <w:strike w:val="false"/>
          <w:dstrike w:val="false"/>
          <w:color w:val="FFFFFF"/>
          <w:sz w:val="32"/>
          <w:u w:val="none"/>
          <w:effect w:val="none"/>
          <w:shd w:fill="E4E4E4" w:val="clear"/>
        </w:rPr>
        <w:t>Monthly Update</w:t>
      </w:r>
      <w:r>
        <w:rPr>
          <w:rFonts w:ascii="Arial;sans-serif" w:hAnsi="Arial;sans-serif"/>
          <w:caps w:val="false"/>
          <w:smallCaps w:val="false"/>
          <w:strike w:val="false"/>
          <w:dstrike w:val="false"/>
          <w:color w:val="B6B6B6"/>
          <w:sz w:val="32"/>
          <w:u w:val="none"/>
          <w:effect w:val="none"/>
          <w:shd w:fill="E4E4E4" w:val="clear"/>
        </w:rPr>
        <w:t xml:space="preserve"> </w:t>
      </w:r>
      <w:r>
        <w:rPr>
          <w:rFonts w:ascii="Arial;sans-serif" w:hAnsi="Arial;sans-serif"/>
          <w:b w:val="false"/>
          <w:i w:val="false"/>
          <w:caps w:val="false"/>
          <w:smallCaps w:val="false"/>
          <w:strike w:val="false"/>
          <w:dstrike w:val="false"/>
          <w:color w:val="FFFFFF"/>
          <w:sz w:val="32"/>
          <w:u w:val="none"/>
          <w:effect w:val="none"/>
          <w:shd w:fill="E4E4E4" w:val="clear"/>
        </w:rPr>
        <w:t>October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752" w:before="0" w:after="0"/>
        <w:jc w:val="left"/>
        <w:rPr>
          <w:shd w:fill="E4E4E4" w:val="clear"/>
        </w:rPr>
      </w:pPr>
      <w:r>
        <w:rPr>
          <w:shd w:fill="E4E4E4" w:val="clear"/>
        </w:rPr>
        <w:drawing>
          <wp:inline distT="0" distB="0" distL="0" distR="0">
            <wp:extent cx="2834640" cy="3017520"/>
            <wp:effectExtent l="0" t="0" r="0" b="0"/>
            <wp:docPr id="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6" descr=""/>
                    <pic:cNvPicPr>
                      <a:picLocks noChangeAspect="1" noChangeArrowheads="1"/>
                    </pic:cNvPicPr>
                  </pic:nvPicPr>
                  <pic:blipFill>
                    <a:blip r:embed="rId7"/>
                    <a:stretch>
                      <a:fillRect/>
                    </a:stretch>
                  </pic:blipFill>
                  <pic:spPr bwMode="auto">
                    <a:xfrm>
                      <a:off x="0" y="0"/>
                      <a:ext cx="2834640" cy="3017520"/>
                    </a:xfrm>
                    <a:prstGeom prst="rect">
                      <a:avLst/>
                    </a:prstGeom>
                  </pic:spPr>
                </pic:pic>
              </a:graphicData>
            </a:graphic>
          </wp:inline>
        </w:drawing>
      </w:r>
      <w:r>
        <mc:AlternateContent>
          <mc:Choice Requires="wps">
            <w:drawing>
              <wp:anchor behindDoc="0" distT="0" distB="0" distL="0" distR="0" simplePos="0" locked="0" layoutInCell="1" allowOverlap="1" relativeHeight="118">
                <wp:simplePos x="0" y="0"/>
                <wp:positionH relativeFrom="page">
                  <wp:posOffset>252095</wp:posOffset>
                </wp:positionH>
                <wp:positionV relativeFrom="line">
                  <wp:posOffset>635</wp:posOffset>
                </wp:positionV>
                <wp:extent cx="7267575" cy="1417955"/>
                <wp:effectExtent l="0" t="0" r="0" b="0"/>
                <wp:wrapNone/>
                <wp:docPr id="39" name="Frame111"/>
                <a:graphic xmlns:a="http://schemas.openxmlformats.org/drawingml/2006/main">
                  <a:graphicData uri="http://schemas.microsoft.com/office/word/2010/wordprocessingShape">
                    <wps:wsp>
                      <wps:cNvSpPr txBox="1"/>
                      <wps:spPr>
                        <a:xfrm>
                          <a:off x="0" y="0"/>
                          <a:ext cx="7267575" cy="1417955"/>
                        </a:xfrm>
                        <a:prstGeom prst="rect"/>
                        <a:solidFill>
                          <a:srgbClr val="FFFFFF"/>
                        </a:solidFill>
                      </wps:spPr>
                      <wps:txbx>
                        <w:txbxContent>
                          <w:tbl>
                            <w:tblPr>
                              <w:tblW w:w="12021" w:type="dxa"/>
                              <w:jc w:val="left"/>
                              <w:tblInd w:w="0" w:type="dxa"/>
                              <w:tblLayout w:type="fixed"/>
                              <w:tblCellMar>
                                <w:top w:w="28" w:type="dxa"/>
                                <w:left w:w="28" w:type="dxa"/>
                                <w:bottom w:w="28" w:type="dxa"/>
                                <w:right w:w="28" w:type="dxa"/>
                              </w:tblCellMar>
                            </w:tblPr>
                            <w:tblGrid>
                              <w:gridCol w:w="2606"/>
                              <w:gridCol w:w="1886"/>
                              <w:gridCol w:w="1886"/>
                              <w:gridCol w:w="1886"/>
                              <w:gridCol w:w="1961"/>
                              <w:gridCol w:w="1796"/>
                            </w:tblGrid>
                            <w:tr>
                              <w:trPr/>
                              <w:tc>
                                <w:tcPr>
                                  <w:tcW w:w="26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1F273B" w:val="clear"/>
                                  <w:vAlign w:val="center"/>
                                </w:tcPr>
                                <w:p>
                                  <w:pPr>
                                    <w:pStyle w:val="TableContents"/>
                                    <w:bidi w:val="0"/>
                                    <w:spacing w:before="0" w:after="283"/>
                                    <w:jc w:val="left"/>
                                    <w:rPr>
                                      <w:sz w:val="4"/>
                                      <w:szCs w:val="4"/>
                                    </w:rPr>
                                  </w:pPr>
                                  <w:r>
                                    <w:rPr>
                                      <w:sz w:val="4"/>
                                      <w:szCs w:val="4"/>
                                    </w:rPr>
                                  </w:r>
                                </w:p>
                              </w:tc>
                              <w:tc>
                                <w:tcPr>
                                  <w:tcW w:w="1886" w:type="dxa"/>
                                  <w:tcBorders/>
                                  <w:shd w:fill="1F273B" w:val="clear"/>
                                  <w:vAlign w:val="center"/>
                                </w:tcPr>
                                <w:p>
                                  <w:pPr>
                                    <w:pStyle w:val="TableContents"/>
                                    <w:bidi w:val="0"/>
                                    <w:spacing w:before="0" w:after="283"/>
                                    <w:jc w:val="left"/>
                                    <w:rPr>
                                      <w:sz w:val="4"/>
                                      <w:szCs w:val="4"/>
                                    </w:rPr>
                                  </w:pPr>
                                  <w:r>
                                    <w:rPr>
                                      <w:sz w:val="4"/>
                                      <w:szCs w:val="4"/>
                                    </w:rPr>
                                  </w:r>
                                </w:p>
                              </w:tc>
                              <w:tc>
                                <w:tcPr>
                                  <w:tcW w:w="1886" w:type="dxa"/>
                                  <w:tcBorders/>
                                  <w:shd w:fill="1F273B" w:val="clear"/>
                                  <w:vAlign w:val="center"/>
                                </w:tcPr>
                                <w:p>
                                  <w:pPr>
                                    <w:pStyle w:val="TableContents"/>
                                    <w:bidi w:val="0"/>
                                    <w:spacing w:before="0" w:after="283"/>
                                    <w:jc w:val="left"/>
                                    <w:rPr>
                                      <w:sz w:val="4"/>
                                      <w:szCs w:val="4"/>
                                    </w:rPr>
                                  </w:pPr>
                                  <w:r>
                                    <w:rPr>
                                      <w:sz w:val="4"/>
                                      <w:szCs w:val="4"/>
                                    </w:rPr>
                                  </w:r>
                                </w:p>
                              </w:tc>
                              <w:tc>
                                <w:tcPr>
                                  <w:tcW w:w="1886" w:type="dxa"/>
                                  <w:tcBorders/>
                                  <w:shd w:fill="1F273B" w:val="clear"/>
                                  <w:vAlign w:val="center"/>
                                </w:tcPr>
                                <w:p>
                                  <w:pPr>
                                    <w:pStyle w:val="TableContents"/>
                                    <w:bidi w:val="0"/>
                                    <w:spacing w:before="0" w:after="283"/>
                                    <w:jc w:val="left"/>
                                    <w:rPr>
                                      <w:sz w:val="4"/>
                                      <w:szCs w:val="4"/>
                                    </w:rPr>
                                  </w:pPr>
                                  <w:r>
                                    <w:rPr>
                                      <w:sz w:val="4"/>
                                      <w:szCs w:val="4"/>
                                    </w:rPr>
                                  </w:r>
                                </w:p>
                              </w:tc>
                              <w:tc>
                                <w:tcPr>
                                  <w:tcW w:w="1961" w:type="dxa"/>
                                  <w:tcBorders/>
                                  <w:shd w:fill="1F273B" w:val="clear"/>
                                  <w:vAlign w:val="center"/>
                                </w:tcPr>
                                <w:p>
                                  <w:pPr>
                                    <w:pStyle w:val="TableContents"/>
                                    <w:bidi w:val="0"/>
                                    <w:spacing w:before="0" w:after="283"/>
                                    <w:jc w:val="left"/>
                                    <w:rPr>
                                      <w:sz w:val="4"/>
                                      <w:szCs w:val="4"/>
                                    </w:rPr>
                                  </w:pPr>
                                  <w:r>
                                    <w:rPr>
                                      <w:sz w:val="4"/>
                                      <w:szCs w:val="4"/>
                                    </w:rPr>
                                  </w:r>
                                </w:p>
                              </w:tc>
                              <w:tc>
                                <w:tcPr>
                                  <w:tcW w:w="1796" w:type="dxa"/>
                                  <w:tcBorders/>
                                  <w:shd w:fill="1F273B" w:val="clear"/>
                                  <w:vAlign w:val="center"/>
                                </w:tcPr>
                                <w:p>
                                  <w:pPr>
                                    <w:pStyle w:val="TableContents"/>
                                    <w:bidi w:val="0"/>
                                    <w:spacing w:before="0" w:after="283"/>
                                    <w:jc w:val="left"/>
                                    <w:rPr>
                                      <w:sz w:val="4"/>
                                      <w:szCs w:val="4"/>
                                    </w:rPr>
                                  </w:pPr>
                                  <w:r>
                                    <w:rPr>
                                      <w:sz w:val="4"/>
                                      <w:szCs w:val="4"/>
                                    </w:rPr>
                                  </w:r>
                                </w:p>
                              </w:tc>
                            </w:tr>
                            <w:tr>
                              <w:trPr/>
                              <w:tc>
                                <w:tcPr>
                                  <w:tcW w:w="2606"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BUCKLER Securities LLC</w:t>
                                  </w:r>
                                  <w:r>
                                    <w:rPr>
                                      <w:caps w:val="false"/>
                                      <w:smallCaps w:val="false"/>
                                      <w:strike w:val="false"/>
                                      <w:dstrike w:val="false"/>
                                      <w:color w:val="0255CB"/>
                                      <w:u w:val="none"/>
                                      <w:effect w:val="none"/>
                                    </w:rPr>
                                    <w:t xml:space="preserve"> </w:t>
                                  </w:r>
                                  <w:r>
                                    <w:rPr>
                                      <w:rFonts w:ascii="Arial;sans-serif" w:hAnsi="Arial;sans-serif"/>
                                      <w:b/>
                                      <w:i w:val="false"/>
                                      <w:caps w:val="false"/>
                                      <w:smallCaps w:val="false"/>
                                      <w:strike w:val="false"/>
                                      <w:dstrike w:val="false"/>
                                      <w:color w:val="0255CB"/>
                                      <w:sz w:val="10"/>
                                      <w:u w:val="none"/>
                                      <w:effect w:val="none"/>
                                    </w:rPr>
                                    <w:t>(4)</w:t>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All Other Counterparties</w:t>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 xml:space="preserve">Total </w:t>
                                  </w:r>
                                  <w:r>
                                    <w:rPr>
                                      <w:rFonts w:ascii="Arial;sans-serif" w:hAnsi="Arial;sans-serif"/>
                                      <w:b/>
                                      <w:i w:val="false"/>
                                      <w:caps w:val="false"/>
                                      <w:smallCaps w:val="false"/>
                                      <w:strike w:val="false"/>
                                      <w:dstrike w:val="false"/>
                                      <w:color w:val="0255CB"/>
                                      <w:sz w:val="10"/>
                                      <w:u w:val="none"/>
                                      <w:effect w:val="none"/>
                                    </w:rPr>
                                    <w:t>(5)</w:t>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72.25pt;height:111.65pt;mso-wrap-distance-left:0pt;mso-wrap-distance-right:0pt;mso-wrap-distance-top:0pt;mso-wrap-distance-bottom:0pt;margin-top:0pt;mso-position-vertical:top;mso-position-vertical-relative:text;margin-left:19.85pt;mso-position-horizontal-relative:page">
                <v:textbox>
                  <w:txbxContent>
                    <w:tbl>
                      <w:tblPr>
                        <w:tblW w:w="12021" w:type="dxa"/>
                        <w:jc w:val="left"/>
                        <w:tblInd w:w="0" w:type="dxa"/>
                        <w:tblLayout w:type="fixed"/>
                        <w:tblCellMar>
                          <w:top w:w="28" w:type="dxa"/>
                          <w:left w:w="28" w:type="dxa"/>
                          <w:bottom w:w="28" w:type="dxa"/>
                          <w:right w:w="28" w:type="dxa"/>
                        </w:tblCellMar>
                      </w:tblPr>
                      <w:tblGrid>
                        <w:gridCol w:w="2606"/>
                        <w:gridCol w:w="1886"/>
                        <w:gridCol w:w="1886"/>
                        <w:gridCol w:w="1886"/>
                        <w:gridCol w:w="1961"/>
                        <w:gridCol w:w="1796"/>
                      </w:tblGrid>
                      <w:tr>
                        <w:trPr/>
                        <w:tc>
                          <w:tcPr>
                            <w:tcW w:w="26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1F273B" w:val="clear"/>
                            <w:vAlign w:val="center"/>
                          </w:tcPr>
                          <w:p>
                            <w:pPr>
                              <w:pStyle w:val="TableContents"/>
                              <w:bidi w:val="0"/>
                              <w:spacing w:before="0" w:after="283"/>
                              <w:jc w:val="left"/>
                              <w:rPr>
                                <w:sz w:val="4"/>
                                <w:szCs w:val="4"/>
                              </w:rPr>
                            </w:pPr>
                            <w:r>
                              <w:rPr>
                                <w:sz w:val="4"/>
                                <w:szCs w:val="4"/>
                              </w:rPr>
                            </w:r>
                          </w:p>
                        </w:tc>
                        <w:tc>
                          <w:tcPr>
                            <w:tcW w:w="1886" w:type="dxa"/>
                            <w:tcBorders/>
                            <w:shd w:fill="1F273B" w:val="clear"/>
                            <w:vAlign w:val="center"/>
                          </w:tcPr>
                          <w:p>
                            <w:pPr>
                              <w:pStyle w:val="TableContents"/>
                              <w:bidi w:val="0"/>
                              <w:spacing w:before="0" w:after="283"/>
                              <w:jc w:val="left"/>
                              <w:rPr>
                                <w:sz w:val="4"/>
                                <w:szCs w:val="4"/>
                              </w:rPr>
                            </w:pPr>
                            <w:r>
                              <w:rPr>
                                <w:sz w:val="4"/>
                                <w:szCs w:val="4"/>
                              </w:rPr>
                            </w:r>
                          </w:p>
                        </w:tc>
                        <w:tc>
                          <w:tcPr>
                            <w:tcW w:w="1886" w:type="dxa"/>
                            <w:tcBorders/>
                            <w:shd w:fill="1F273B" w:val="clear"/>
                            <w:vAlign w:val="center"/>
                          </w:tcPr>
                          <w:p>
                            <w:pPr>
                              <w:pStyle w:val="TableContents"/>
                              <w:bidi w:val="0"/>
                              <w:spacing w:before="0" w:after="283"/>
                              <w:jc w:val="left"/>
                              <w:rPr>
                                <w:sz w:val="4"/>
                                <w:szCs w:val="4"/>
                              </w:rPr>
                            </w:pPr>
                            <w:r>
                              <w:rPr>
                                <w:sz w:val="4"/>
                                <w:szCs w:val="4"/>
                              </w:rPr>
                            </w:r>
                          </w:p>
                        </w:tc>
                        <w:tc>
                          <w:tcPr>
                            <w:tcW w:w="1886" w:type="dxa"/>
                            <w:tcBorders/>
                            <w:shd w:fill="1F273B" w:val="clear"/>
                            <w:vAlign w:val="center"/>
                          </w:tcPr>
                          <w:p>
                            <w:pPr>
                              <w:pStyle w:val="TableContents"/>
                              <w:bidi w:val="0"/>
                              <w:spacing w:before="0" w:after="283"/>
                              <w:jc w:val="left"/>
                              <w:rPr>
                                <w:sz w:val="4"/>
                                <w:szCs w:val="4"/>
                              </w:rPr>
                            </w:pPr>
                            <w:r>
                              <w:rPr>
                                <w:sz w:val="4"/>
                                <w:szCs w:val="4"/>
                              </w:rPr>
                            </w:r>
                          </w:p>
                        </w:tc>
                        <w:tc>
                          <w:tcPr>
                            <w:tcW w:w="1961" w:type="dxa"/>
                            <w:tcBorders/>
                            <w:shd w:fill="1F273B" w:val="clear"/>
                            <w:vAlign w:val="center"/>
                          </w:tcPr>
                          <w:p>
                            <w:pPr>
                              <w:pStyle w:val="TableContents"/>
                              <w:bidi w:val="0"/>
                              <w:spacing w:before="0" w:after="283"/>
                              <w:jc w:val="left"/>
                              <w:rPr>
                                <w:sz w:val="4"/>
                                <w:szCs w:val="4"/>
                              </w:rPr>
                            </w:pPr>
                            <w:r>
                              <w:rPr>
                                <w:sz w:val="4"/>
                                <w:szCs w:val="4"/>
                              </w:rPr>
                            </w:r>
                          </w:p>
                        </w:tc>
                        <w:tc>
                          <w:tcPr>
                            <w:tcW w:w="1796" w:type="dxa"/>
                            <w:tcBorders/>
                            <w:shd w:fill="1F273B" w:val="clear"/>
                            <w:vAlign w:val="center"/>
                          </w:tcPr>
                          <w:p>
                            <w:pPr>
                              <w:pStyle w:val="TableContents"/>
                              <w:bidi w:val="0"/>
                              <w:spacing w:before="0" w:after="283"/>
                              <w:jc w:val="left"/>
                              <w:rPr>
                                <w:sz w:val="4"/>
                                <w:szCs w:val="4"/>
                              </w:rPr>
                            </w:pPr>
                            <w:r>
                              <w:rPr>
                                <w:sz w:val="4"/>
                                <w:szCs w:val="4"/>
                              </w:rPr>
                            </w:r>
                          </w:p>
                        </w:tc>
                      </w:tr>
                      <w:tr>
                        <w:trPr/>
                        <w:tc>
                          <w:tcPr>
                            <w:tcW w:w="2606"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BUCKLER Securities LLC</w:t>
                            </w:r>
                            <w:r>
                              <w:rPr>
                                <w:caps w:val="false"/>
                                <w:smallCaps w:val="false"/>
                                <w:strike w:val="false"/>
                                <w:dstrike w:val="false"/>
                                <w:color w:val="0255CB"/>
                                <w:u w:val="none"/>
                                <w:effect w:val="none"/>
                              </w:rPr>
                              <w:t xml:space="preserve"> </w:t>
                            </w:r>
                            <w:r>
                              <w:rPr>
                                <w:rFonts w:ascii="Arial;sans-serif" w:hAnsi="Arial;sans-serif"/>
                                <w:b/>
                                <w:i w:val="false"/>
                                <w:caps w:val="false"/>
                                <w:smallCaps w:val="false"/>
                                <w:strike w:val="false"/>
                                <w:dstrike w:val="false"/>
                                <w:color w:val="0255CB"/>
                                <w:sz w:val="10"/>
                                <w:u w:val="none"/>
                                <w:effect w:val="none"/>
                              </w:rPr>
                              <w:t>(4)</w:t>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All Other Counterparties</w:t>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pPr>
                            <w:r>
                              <w:rPr>
                                <w:rFonts w:ascii="Arial;sans-serif" w:hAnsi="Arial;sans-serif"/>
                                <w:b/>
                                <w:i w:val="false"/>
                                <w:caps w:val="false"/>
                                <w:smallCaps w:val="false"/>
                                <w:strike w:val="false"/>
                                <w:dstrike w:val="false"/>
                                <w:color w:val="0255CB"/>
                                <w:sz w:val="16"/>
                                <w:u w:val="none"/>
                                <w:effect w:val="none"/>
                              </w:rPr>
                              <w:t xml:space="preserve">Total </w:t>
                            </w:r>
                            <w:r>
                              <w:rPr>
                                <w:rFonts w:ascii="Arial;sans-serif" w:hAnsi="Arial;sans-serif"/>
                                <w:b/>
                                <w:i w:val="false"/>
                                <w:caps w:val="false"/>
                                <w:smallCaps w:val="false"/>
                                <w:strike w:val="false"/>
                                <w:dstrike w:val="false"/>
                                <w:color w:val="0255CB"/>
                                <w:sz w:val="10"/>
                                <w:u w:val="none"/>
                                <w:effect w:val="none"/>
                              </w:rPr>
                              <w:t>(5)</w:t>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228600</wp:posOffset>
                </wp:positionH>
                <wp:positionV relativeFrom="line">
                  <wp:posOffset>635</wp:posOffset>
                </wp:positionV>
                <wp:extent cx="4181475" cy="3618230"/>
                <wp:effectExtent l="0" t="0" r="0" b="0"/>
                <wp:wrapNone/>
                <wp:docPr id="40" name="Frame132"/>
                <a:graphic xmlns:a="http://schemas.openxmlformats.org/drawingml/2006/main">
                  <a:graphicData uri="http://schemas.microsoft.com/office/word/2010/wordprocessingShape">
                    <wps:wsp>
                      <wps:cNvSpPr txBox="1"/>
                      <wps:spPr>
                        <a:xfrm>
                          <a:off x="0" y="0"/>
                          <a:ext cx="4181475" cy="3618230"/>
                        </a:xfrm>
                        <a:prstGeom prst="rect"/>
                        <a:solidFill>
                          <a:srgbClr val="FFFFFF"/>
                        </a:solidFill>
                      </wps:spPr>
                      <wps:txbx>
                        <w:txbxContent>
                          <w:tbl>
                            <w:tblPr>
                              <w:tblW w:w="6989" w:type="dxa"/>
                              <w:jc w:val="left"/>
                              <w:tblInd w:w="0" w:type="dxa"/>
                              <w:tblLayout w:type="fixed"/>
                              <w:tblCellMar>
                                <w:top w:w="28" w:type="dxa"/>
                                <w:left w:w="28" w:type="dxa"/>
                                <w:bottom w:w="28" w:type="dxa"/>
                                <w:right w:w="28" w:type="dxa"/>
                              </w:tblCellMar>
                            </w:tblPr>
                            <w:tblGrid>
                              <w:gridCol w:w="2126"/>
                              <w:gridCol w:w="1406"/>
                              <w:gridCol w:w="2021"/>
                              <w:gridCol w:w="1436"/>
                            </w:tblGrid>
                            <w:tr>
                              <w:trPr/>
                              <w:tc>
                                <w:tcPr>
                                  <w:tcW w:w="2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1F273B" w:val="clear"/>
                                  <w:vAlign w:val="center"/>
                                </w:tcPr>
                                <w:p>
                                  <w:pPr>
                                    <w:pStyle w:val="TableContents"/>
                                    <w:bidi w:val="0"/>
                                    <w:spacing w:before="0" w:after="283"/>
                                    <w:jc w:val="left"/>
                                    <w:rPr>
                                      <w:sz w:val="4"/>
                                      <w:szCs w:val="4"/>
                                    </w:rPr>
                                  </w:pPr>
                                  <w:r>
                                    <w:rPr>
                                      <w:sz w:val="4"/>
                                      <w:szCs w:val="4"/>
                                    </w:rPr>
                                  </w:r>
                                </w:p>
                              </w:tc>
                              <w:tc>
                                <w:tcPr>
                                  <w:tcW w:w="1406" w:type="dxa"/>
                                  <w:tcBorders/>
                                  <w:shd w:fill="1F273B" w:val="clear"/>
                                  <w:vAlign w:val="center"/>
                                </w:tcPr>
                                <w:p>
                                  <w:pPr>
                                    <w:pStyle w:val="TableContents"/>
                                    <w:bidi w:val="0"/>
                                    <w:spacing w:before="0" w:after="283"/>
                                    <w:jc w:val="left"/>
                                    <w:rPr>
                                      <w:sz w:val="4"/>
                                      <w:szCs w:val="4"/>
                                    </w:rPr>
                                  </w:pPr>
                                  <w:r>
                                    <w:rPr>
                                      <w:sz w:val="4"/>
                                      <w:szCs w:val="4"/>
                                    </w:rPr>
                                  </w:r>
                                </w:p>
                              </w:tc>
                              <w:tc>
                                <w:tcPr>
                                  <w:tcW w:w="2021" w:type="dxa"/>
                                  <w:tcBorders/>
                                  <w:shd w:fill="1F273B" w:val="clear"/>
                                  <w:vAlign w:val="center"/>
                                </w:tcPr>
                                <w:p>
                                  <w:pPr>
                                    <w:pStyle w:val="TableContents"/>
                                    <w:bidi w:val="0"/>
                                    <w:spacing w:before="0" w:after="283"/>
                                    <w:jc w:val="left"/>
                                    <w:rPr>
                                      <w:sz w:val="4"/>
                                      <w:szCs w:val="4"/>
                                    </w:rPr>
                                  </w:pPr>
                                  <w:r>
                                    <w:rPr>
                                      <w:sz w:val="4"/>
                                      <w:szCs w:val="4"/>
                                    </w:rPr>
                                  </w:r>
                                </w:p>
                              </w:tc>
                              <w:tc>
                                <w:tcPr>
                                  <w:tcW w:w="1436" w:type="dxa"/>
                                  <w:tcBorders/>
                                  <w:shd w:fill="1F273B" w:val="clear"/>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0-12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13-24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25-36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37-48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49-60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61-72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73-84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85-96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97-108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109-120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&gt;120</w:t>
                                  </w:r>
                                </w:p>
                              </w:tc>
                              <w:tc>
                                <w:tcPr>
                                  <w:tcW w:w="140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Total</w:t>
                                  </w:r>
                                </w:p>
                              </w:tc>
                              <w:tc>
                                <w:tcPr>
                                  <w:tcW w:w="140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29.25pt;height:284.9pt;mso-wrap-distance-left:0pt;mso-wrap-distance-right:0pt;mso-wrap-distance-top:0pt;mso-wrap-distance-bottom:0pt;margin-top:0pt;mso-position-vertical:top;mso-position-vertical-relative:text;margin-left:18pt;mso-position-horizontal-relative:page">
                <v:textbox>
                  <w:txbxContent>
                    <w:tbl>
                      <w:tblPr>
                        <w:tblW w:w="6989" w:type="dxa"/>
                        <w:jc w:val="left"/>
                        <w:tblInd w:w="0" w:type="dxa"/>
                        <w:tblLayout w:type="fixed"/>
                        <w:tblCellMar>
                          <w:top w:w="28" w:type="dxa"/>
                          <w:left w:w="28" w:type="dxa"/>
                          <w:bottom w:w="28" w:type="dxa"/>
                          <w:right w:w="28" w:type="dxa"/>
                        </w:tblCellMar>
                      </w:tblPr>
                      <w:tblGrid>
                        <w:gridCol w:w="2126"/>
                        <w:gridCol w:w="1406"/>
                        <w:gridCol w:w="2021"/>
                        <w:gridCol w:w="1436"/>
                      </w:tblGrid>
                      <w:tr>
                        <w:trPr/>
                        <w:tc>
                          <w:tcPr>
                            <w:tcW w:w="2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1F273B" w:val="clear"/>
                            <w:vAlign w:val="center"/>
                          </w:tcPr>
                          <w:p>
                            <w:pPr>
                              <w:pStyle w:val="TableContents"/>
                              <w:bidi w:val="0"/>
                              <w:spacing w:before="0" w:after="283"/>
                              <w:jc w:val="left"/>
                              <w:rPr>
                                <w:sz w:val="4"/>
                                <w:szCs w:val="4"/>
                              </w:rPr>
                            </w:pPr>
                            <w:r>
                              <w:rPr>
                                <w:sz w:val="4"/>
                                <w:szCs w:val="4"/>
                              </w:rPr>
                            </w:r>
                          </w:p>
                        </w:tc>
                        <w:tc>
                          <w:tcPr>
                            <w:tcW w:w="1406" w:type="dxa"/>
                            <w:tcBorders/>
                            <w:shd w:fill="1F273B" w:val="clear"/>
                            <w:vAlign w:val="center"/>
                          </w:tcPr>
                          <w:p>
                            <w:pPr>
                              <w:pStyle w:val="TableContents"/>
                              <w:bidi w:val="0"/>
                              <w:spacing w:before="0" w:after="283"/>
                              <w:jc w:val="left"/>
                              <w:rPr>
                                <w:sz w:val="4"/>
                                <w:szCs w:val="4"/>
                              </w:rPr>
                            </w:pPr>
                            <w:r>
                              <w:rPr>
                                <w:sz w:val="4"/>
                                <w:szCs w:val="4"/>
                              </w:rPr>
                            </w:r>
                          </w:p>
                        </w:tc>
                        <w:tc>
                          <w:tcPr>
                            <w:tcW w:w="2021" w:type="dxa"/>
                            <w:tcBorders/>
                            <w:shd w:fill="1F273B" w:val="clear"/>
                            <w:vAlign w:val="center"/>
                          </w:tcPr>
                          <w:p>
                            <w:pPr>
                              <w:pStyle w:val="TableContents"/>
                              <w:bidi w:val="0"/>
                              <w:spacing w:before="0" w:after="283"/>
                              <w:jc w:val="left"/>
                              <w:rPr>
                                <w:sz w:val="4"/>
                                <w:szCs w:val="4"/>
                              </w:rPr>
                            </w:pPr>
                            <w:r>
                              <w:rPr>
                                <w:sz w:val="4"/>
                                <w:szCs w:val="4"/>
                              </w:rPr>
                            </w:r>
                          </w:p>
                        </w:tc>
                        <w:tc>
                          <w:tcPr>
                            <w:tcW w:w="1436" w:type="dxa"/>
                            <w:tcBorders/>
                            <w:shd w:fill="1F273B" w:val="clear"/>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0-12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13-24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25-36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37-48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49-60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61-72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73-84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85-96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97-108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109-120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&gt;120</w:t>
                            </w:r>
                          </w:p>
                        </w:tc>
                        <w:tc>
                          <w:tcPr>
                            <w:tcW w:w="140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255CB"/>
                                <w:sz w:val="16"/>
                                <w:u w:val="none"/>
                                <w:effect w:val="none"/>
                              </w:rPr>
                            </w:pPr>
                            <w:r>
                              <w:rPr>
                                <w:rFonts w:ascii="Arial;sans-serif" w:hAnsi="Arial;sans-serif"/>
                                <w:b/>
                                <w:i w:val="false"/>
                                <w:caps w:val="false"/>
                                <w:smallCaps w:val="false"/>
                                <w:strike w:val="false"/>
                                <w:dstrike w:val="false"/>
                                <w:color w:val="0255CB"/>
                                <w:sz w:val="16"/>
                                <w:u w:val="none"/>
                                <w:effect w:val="none"/>
                              </w:rPr>
                              <w:t>Total</w:t>
                            </w:r>
                          </w:p>
                        </w:tc>
                        <w:tc>
                          <w:tcPr>
                            <w:tcW w:w="140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4733925</wp:posOffset>
                </wp:positionH>
                <wp:positionV relativeFrom="line">
                  <wp:posOffset>635</wp:posOffset>
                </wp:positionV>
                <wp:extent cx="2809875" cy="664210"/>
                <wp:effectExtent l="0" t="0" r="0" b="0"/>
                <wp:wrapNone/>
                <wp:docPr id="41" name="Frame173"/>
                <a:graphic xmlns:a="http://schemas.openxmlformats.org/drawingml/2006/main">
                  <a:graphicData uri="http://schemas.microsoft.com/office/word/2010/wordprocessingShape">
                    <wps:wsp>
                      <wps:cNvSpPr txBox="1"/>
                      <wps:spPr>
                        <a:xfrm>
                          <a:off x="0" y="0"/>
                          <a:ext cx="2809875" cy="664210"/>
                        </a:xfrm>
                        <a:prstGeom prst="rect"/>
                        <a:solidFill>
                          <a:srgbClr val="FFFFFF"/>
                        </a:solidFill>
                      </wps:spPr>
                      <wps:txbx>
                        <w:txbxContent>
                          <w:tbl>
                            <w:tblPr>
                              <w:tblW w:w="4571" w:type="dxa"/>
                              <w:jc w:val="left"/>
                              <w:tblInd w:w="0" w:type="dxa"/>
                              <w:tblLayout w:type="fixed"/>
                              <w:tblCellMar>
                                <w:top w:w="28" w:type="dxa"/>
                                <w:left w:w="28" w:type="dxa"/>
                                <w:bottom w:w="28" w:type="dxa"/>
                                <w:right w:w="28" w:type="dxa"/>
                              </w:tblCellMar>
                            </w:tblPr>
                            <w:tblGrid>
                              <w:gridCol w:w="4571"/>
                            </w:tblGrid>
                            <w:tr>
                              <w:trPr/>
                              <w:tc>
                                <w:tcPr>
                                  <w:tcW w:w="457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1F273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1.25pt;height:52.3pt;mso-wrap-distance-left:0pt;mso-wrap-distance-right:0pt;mso-wrap-distance-top:0pt;mso-wrap-distance-bottom:0pt;margin-top:0pt;mso-position-vertical:top;mso-position-vertical-relative:text;margin-left:372.75pt;mso-position-horizontal-relative:page">
                <v:textbox>
                  <w:txbxContent>
                    <w:tbl>
                      <w:tblPr>
                        <w:tblW w:w="4571" w:type="dxa"/>
                        <w:jc w:val="left"/>
                        <w:tblInd w:w="0" w:type="dxa"/>
                        <w:tblLayout w:type="fixed"/>
                        <w:tblCellMar>
                          <w:top w:w="28" w:type="dxa"/>
                          <w:left w:w="28" w:type="dxa"/>
                          <w:bottom w:w="28" w:type="dxa"/>
                          <w:right w:w="28" w:type="dxa"/>
                        </w:tblCellMar>
                      </w:tblPr>
                      <w:tblGrid>
                        <w:gridCol w:w="4571"/>
                      </w:tblGrid>
                      <w:tr>
                        <w:trPr/>
                        <w:tc>
                          <w:tcPr>
                            <w:tcW w:w="457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1F273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90675" cy="233680"/>
                <wp:effectExtent l="0" t="0" r="0" b="0"/>
                <wp:wrapNone/>
                <wp:docPr id="42" name="Frame112"/>
                <a:graphic xmlns:a="http://schemas.openxmlformats.org/drawingml/2006/main">
                  <a:graphicData uri="http://schemas.microsoft.com/office/word/2010/wordprocessingShape">
                    <wps:wsp>
                      <wps:cNvSpPr txBox="1"/>
                      <wps:spPr>
                        <a:xfrm>
                          <a:off x="0" y="0"/>
                          <a:ext cx="15906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Repo</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wps:txbx>
                      <wps:bodyPr anchor="t" lIns="0" tIns="0" rIns="0" bIns="0">
                        <a:noAutofit/>
                      </wps:bodyPr>
                    </wps:wsp>
                  </a:graphicData>
                </a:graphic>
              </wp:anchor>
            </w:drawing>
          </mc:Choice>
          <mc:Fallback>
            <w:pict>
              <v:rect style="position:absolute;rotation:-0;width:125.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Repo</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1590675</wp:posOffset>
                </wp:positionH>
                <wp:positionV relativeFrom="line">
                  <wp:posOffset>635</wp:posOffset>
                </wp:positionV>
                <wp:extent cx="1143000" cy="233680"/>
                <wp:effectExtent l="0" t="0" r="0" b="0"/>
                <wp:wrapNone/>
                <wp:docPr id="43" name="Frame113"/>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Principal Borrowed</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12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Principal Borrowed</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2733675</wp:posOffset>
                </wp:positionH>
                <wp:positionV relativeFrom="line">
                  <wp:posOffset>635</wp:posOffset>
                </wp:positionV>
                <wp:extent cx="1143000" cy="233680"/>
                <wp:effectExtent l="0" t="0" r="0" b="0"/>
                <wp:wrapNone/>
                <wp:docPr id="44" name="Frame114"/>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Repo Positions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with ARMOUR</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21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Repo Positions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with ARMOUR</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3876675</wp:posOffset>
                </wp:positionH>
                <wp:positionV relativeFrom="line">
                  <wp:posOffset>635</wp:posOffset>
                </wp:positionV>
                <wp:extent cx="1143000" cy="233680"/>
                <wp:effectExtent l="0" t="0" r="0" b="0"/>
                <wp:wrapNone/>
                <wp:docPr id="45" name="Frame115"/>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Weighted Average</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Original Term (days)</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30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Weighted Average</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Original Term (days)</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5019675</wp:posOffset>
                </wp:positionH>
                <wp:positionV relativeFrom="line">
                  <wp:posOffset>635</wp:posOffset>
                </wp:positionV>
                <wp:extent cx="1190625" cy="233680"/>
                <wp:effectExtent l="0" t="0" r="0" b="0"/>
                <wp:wrapNone/>
                <wp:docPr id="46" name="Frame116"/>
                <a:graphic xmlns:a="http://schemas.openxmlformats.org/drawingml/2006/main">
                  <a:graphicData uri="http://schemas.microsoft.com/office/word/2010/wordprocessingShape">
                    <wps:wsp>
                      <wps:cNvSpPr txBox="1"/>
                      <wps:spPr>
                        <a:xfrm>
                          <a:off x="0" y="0"/>
                          <a:ext cx="119062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Remaining Term (days)</w:t>
                            </w:r>
                          </w:p>
                        </w:txbxContent>
                      </wps:txbx>
                      <wps:bodyPr anchor="t" lIns="0" tIns="0" rIns="0" bIns="0">
                        <a:noAutofit/>
                      </wps:bodyPr>
                    </wps:wsp>
                  </a:graphicData>
                </a:graphic>
              </wp:anchor>
            </w:drawing>
          </mc:Choice>
          <mc:Fallback>
            <w:pict>
              <v:rect style="position:absolute;rotation:-0;width:93.75pt;height:18.4pt;mso-wrap-distance-left:0pt;mso-wrap-distance-right:0pt;mso-wrap-distance-top:0pt;mso-wrap-distance-bottom:0pt;margin-top:0pt;mso-position-vertical:top;mso-position-vertical-relative:text;margin-left:39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Remaining Term (days)</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6210300</wp:posOffset>
                </wp:positionH>
                <wp:positionV relativeFrom="line">
                  <wp:posOffset>635</wp:posOffset>
                </wp:positionV>
                <wp:extent cx="1057275" cy="233680"/>
                <wp:effectExtent l="0" t="0" r="0" b="0"/>
                <wp:wrapNone/>
                <wp:docPr id="47" name="Frame117"/>
                <a:graphic xmlns:a="http://schemas.openxmlformats.org/drawingml/2006/main">
                  <a:graphicData uri="http://schemas.microsoft.com/office/word/2010/wordprocessingShape">
                    <wps:wsp>
                      <wps:cNvSpPr txBox="1"/>
                      <wps:spPr>
                        <a:xfrm>
                          <a:off x="0" y="0"/>
                          <a:ext cx="10572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Longest Maturity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(days)</w:t>
                            </w:r>
                          </w:p>
                        </w:txbxContent>
                      </wps:txbx>
                      <wps:bodyPr anchor="t" lIns="0" tIns="0" rIns="0" bIns="0">
                        <a:noAutofit/>
                      </wps:bodyPr>
                    </wps:wsp>
                  </a:graphicData>
                </a:graphic>
              </wp:anchor>
            </w:drawing>
          </mc:Choice>
          <mc:Fallback>
            <w:pict>
              <v:rect style="position:absolute;rotation:-0;width:83.25pt;height:18.4pt;mso-wrap-distance-left:0pt;mso-wrap-distance-right:0pt;mso-wrap-distance-top:0pt;mso-wrap-distance-bottom:0pt;margin-top:0pt;mso-position-vertical:top;mso-position-vertical-relative:text;margin-left:489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Longest Maturity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(days)</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85875" cy="233680"/>
                <wp:effectExtent l="0" t="0" r="0" b="0"/>
                <wp:wrapNone/>
                <wp:docPr id="48" name="Frame133"/>
                <a:graphic xmlns:a="http://schemas.openxmlformats.org/drawingml/2006/main">
                  <a:graphicData uri="http://schemas.microsoft.com/office/word/2010/wordprocessingShape">
                    <wps:wsp>
                      <wps:cNvSpPr txBox="1"/>
                      <wps:spPr>
                        <a:xfrm>
                          <a:off x="0" y="0"/>
                          <a:ext cx="12858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Interest Rate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Swaps Maturity (months)</w:t>
                            </w:r>
                          </w:p>
                        </w:txbxContent>
                      </wps:txbx>
                      <wps:bodyPr anchor="t" lIns="0" tIns="0" rIns="0" bIns="0">
                        <a:noAutofit/>
                      </wps:bodyPr>
                    </wps:wsp>
                  </a:graphicData>
                </a:graphic>
              </wp:anchor>
            </w:drawing>
          </mc:Choice>
          <mc:Fallback>
            <w:pict>
              <v:rect style="position:absolute;rotation:-0;width:101.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Interest Rate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Swaps Maturity (months)</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1285875</wp:posOffset>
                </wp:positionH>
                <wp:positionV relativeFrom="line">
                  <wp:posOffset>635</wp:posOffset>
                </wp:positionV>
                <wp:extent cx="838200" cy="350520"/>
                <wp:effectExtent l="0" t="0" r="0" b="0"/>
                <wp:wrapNone/>
                <wp:docPr id="49" name="Frame134"/>
                <a:graphic xmlns:a="http://schemas.openxmlformats.org/drawingml/2006/main">
                  <a:graphicData uri="http://schemas.microsoft.com/office/word/2010/wordprocessingShape">
                    <wps:wsp>
                      <wps:cNvSpPr txBox="1"/>
                      <wps:spPr>
                        <a:xfrm>
                          <a:off x="0" y="0"/>
                          <a:ext cx="838200"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Notional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Amount</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wps:txbx>
                      <wps:bodyPr anchor="t" lIns="0" tIns="0" rIns="0" bIns="0">
                        <a:noAutofit/>
                      </wps:bodyPr>
                    </wps:wsp>
                  </a:graphicData>
                </a:graphic>
              </wp:anchor>
            </w:drawing>
          </mc:Choice>
          <mc:Fallback>
            <w:pict>
              <v:rect style="position:absolute;rotation:-0;width:66pt;height:27.6pt;mso-wrap-distance-left:0pt;mso-wrap-distance-right:0pt;mso-wrap-distance-top:0pt;mso-wrap-distance-bottom:0pt;margin-top:0pt;mso-position-vertical:top;mso-position-vertical-relative:text;margin-left:101.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Notional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Amount</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2124075</wp:posOffset>
                </wp:positionH>
                <wp:positionV relativeFrom="line">
                  <wp:posOffset>635</wp:posOffset>
                </wp:positionV>
                <wp:extent cx="1228725" cy="350520"/>
                <wp:effectExtent l="0" t="0" r="0" b="0"/>
                <wp:wrapNone/>
                <wp:docPr id="50" name="Frame135"/>
                <a:graphic xmlns:a="http://schemas.openxmlformats.org/drawingml/2006/main">
                  <a:graphicData uri="http://schemas.microsoft.com/office/word/2010/wordprocessingShape">
                    <wps:wsp>
                      <wps:cNvSpPr txBox="1"/>
                      <wps:spPr>
                        <a:xfrm>
                          <a:off x="0" y="0"/>
                          <a:ext cx="1228725"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Remaining Term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(months)</w:t>
                            </w:r>
                          </w:p>
                        </w:txbxContent>
                      </wps:txbx>
                      <wps:bodyPr anchor="t" lIns="0" tIns="0" rIns="0" bIns="0">
                        <a:noAutofit/>
                      </wps:bodyPr>
                    </wps:wsp>
                  </a:graphicData>
                </a:graphic>
              </wp:anchor>
            </w:drawing>
          </mc:Choice>
          <mc:Fallback>
            <w:pict>
              <v:rect style="position:absolute;rotation:-0;width:96.75pt;height:27.6pt;mso-wrap-distance-left:0pt;mso-wrap-distance-right:0pt;mso-wrap-distance-top:0pt;mso-wrap-distance-bottom:0pt;margin-top:0pt;mso-position-vertical:top;mso-position-vertical-relative:text;margin-left:167.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Remaining Term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(months)</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3352800</wp:posOffset>
                </wp:positionH>
                <wp:positionV relativeFrom="line">
                  <wp:posOffset>635</wp:posOffset>
                </wp:positionV>
                <wp:extent cx="828675" cy="314325"/>
                <wp:effectExtent l="0" t="0" r="0" b="0"/>
                <wp:wrapNone/>
                <wp:docPr id="51" name="Frame136"/>
                <a:graphic xmlns:a="http://schemas.openxmlformats.org/drawingml/2006/main">
                  <a:graphicData uri="http://schemas.microsoft.com/office/word/2010/wordprocessingShape">
                    <wps:wsp>
                      <wps:cNvSpPr txBox="1"/>
                      <wps:spPr>
                        <a:xfrm>
                          <a:off x="0" y="0"/>
                          <a:ext cx="828675" cy="314325"/>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Average Rate</w:t>
                            </w:r>
                          </w:p>
                        </w:txbxContent>
                      </wps:txbx>
                      <wps:bodyPr anchor="t" lIns="0" tIns="0" rIns="0" bIns="0">
                        <a:noAutofit/>
                      </wps:bodyPr>
                    </wps:wsp>
                  </a:graphicData>
                </a:graphic>
              </wp:anchor>
            </w:drawing>
          </mc:Choice>
          <mc:Fallback>
            <w:pict>
              <v:rect style="position:absolute;rotation:-0;width:65.25pt;height:24.75pt;mso-wrap-distance-left:0pt;mso-wrap-distance-right:0pt;mso-wrap-distance-top:0pt;mso-wrap-distance-bottom:0pt;margin-top:0pt;mso-position-vertical:top;mso-position-vertical-relative:text;margin-left:264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Average Rate</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809875" cy="116840"/>
                <wp:effectExtent l="0" t="0" r="0" b="0"/>
                <wp:wrapNone/>
                <wp:docPr id="52" name="Frame174"/>
                <a:graphic xmlns:a="http://schemas.openxmlformats.org/drawingml/2006/main">
                  <a:graphicData uri="http://schemas.microsoft.com/office/word/2010/wordprocessingShape">
                    <wps:wsp>
                      <wps:cNvSpPr txBox="1"/>
                      <wps:spPr>
                        <a:xfrm>
                          <a:off x="0" y="0"/>
                          <a:ext cx="2809875" cy="116840"/>
                        </a:xfrm>
                        <a:prstGeom prst="rect"/>
                        <a:solidFill>
                          <a:srgbClr val="FFFFFF"/>
                        </a:solidFill>
                      </wps:spPr>
                      <wps:txb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color w:val="FFFFFF"/>
                                <w:sz w:val="16"/>
                                <w:u w:val="none"/>
                                <w:effect w:val="none"/>
                              </w:rPr>
                              <w:t xml:space="preserve">ARMOUR Hedge Type Notional (millions) </w:t>
                            </w:r>
                            <w:r>
                              <w:rPr>
                                <w:rFonts w:ascii="Arial;sans-serif" w:hAnsi="Arial;sans-serif"/>
                                <w:b/>
                                <w:i w:val="false"/>
                                <w:caps w:val="false"/>
                                <w:smallCaps w:val="false"/>
                                <w:strike w:val="false"/>
                                <w:dstrike w:val="false"/>
                                <w:color w:val="FFFFFF"/>
                                <w:sz w:val="10"/>
                                <w:u w:val="none"/>
                                <w:effect w:val="none"/>
                              </w:rPr>
                              <w:t>(6)</w:t>
                            </w:r>
                          </w:p>
                        </w:txbxContent>
                      </wps:txbx>
                      <wps:bodyPr anchor="t" lIns="0" tIns="0" rIns="0" bIns="0">
                        <a:noAutofit/>
                      </wps:bodyPr>
                    </wps:wsp>
                  </a:graphicData>
                </a:graphic>
              </wp:anchor>
            </w:drawing>
          </mc:Choice>
          <mc:Fallback>
            <w:pict>
              <v:rect style="position:absolute;rotation:-0;width:221.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color w:val="FFFFFF"/>
                          <w:sz w:val="16"/>
                          <w:u w:val="none"/>
                          <w:effect w:val="none"/>
                        </w:rPr>
                        <w:t xml:space="preserve">ARMOUR Hedge Type Notional (millions) </w:t>
                      </w:r>
                      <w:r>
                        <w:rPr>
                          <w:rFonts w:ascii="Arial;sans-serif" w:hAnsi="Arial;sans-serif"/>
                          <w:b/>
                          <w:i w:val="false"/>
                          <w:caps w:val="false"/>
                          <w:smallCaps w:val="false"/>
                          <w:strike w:val="false"/>
                          <w:dstrike w:val="false"/>
                          <w:color w:val="FFFFFF"/>
                          <w:sz w:val="10"/>
                          <w:u w:val="none"/>
                          <w:effect w:val="none"/>
                        </w:rPr>
                        <w:t>(6)</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i w:val="false"/>
          <w:caps w:val="false"/>
          <w:smallCaps w:val="false"/>
          <w:strike w:val="false"/>
          <w:dstrike w:val="false"/>
          <w:color w:val="4B79BB"/>
          <w:sz w:val="16"/>
          <w:u w:val="none"/>
          <w:effect w:val="none"/>
          <w:shd w:fill="E4E4E4" w:val="clear"/>
        </w:rPr>
      </w:pPr>
      <w:r>
        <w:rPr>
          <w:rFonts w:ascii="Arial;sans-serif" w:hAnsi="Arial;sans-serif"/>
          <w:b/>
          <w:i w:val="false"/>
          <w:caps w:val="false"/>
          <w:smallCaps w:val="false"/>
          <w:strike w:val="false"/>
          <w:dstrike w:val="false"/>
          <w:color w:val="4B79BB"/>
          <w:sz w:val="16"/>
          <w:u w:val="none"/>
          <w:effect w:val="none"/>
          <w:shd w:fill="E4E4E4" w:val="clear"/>
        </w:rPr>
        <w:t>Footnotes</w:t>
      </w:r>
      <w:r>
        <mc:AlternateContent>
          <mc:Choice Requires="wps">
            <w:drawing>
              <wp:anchor behindDoc="0" distT="0" distB="0" distL="0" distR="0" simplePos="0" locked="0" layoutInCell="1" allowOverlap="1" relativeHeight="195">
                <wp:simplePos x="0" y="0"/>
                <wp:positionH relativeFrom="page">
                  <wp:posOffset>7541895</wp:posOffset>
                </wp:positionH>
                <wp:positionV relativeFrom="line">
                  <wp:posOffset>635</wp:posOffset>
                </wp:positionV>
                <wp:extent cx="19685" cy="175260"/>
                <wp:effectExtent l="0" t="0" r="0" b="0"/>
                <wp:wrapNone/>
                <wp:docPr id="53" name="Frame188"/>
                <a:graphic xmlns:a="http://schemas.openxmlformats.org/drawingml/2006/main">
                  <a:graphicData uri="http://schemas.microsoft.com/office/word/2010/wordprocessingShape">
                    <wps:wsp>
                      <wps:cNvSpPr txBox="1"/>
                      <wps:spPr>
                        <a:xfrm>
                          <a:off x="0" y="0"/>
                          <a:ext cx="196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228600</wp:posOffset>
                </wp:positionH>
                <wp:positionV relativeFrom="line">
                  <wp:posOffset>635</wp:posOffset>
                </wp:positionV>
                <wp:extent cx="5459730" cy="204470"/>
                <wp:effectExtent l="0" t="0" r="0" b="0"/>
                <wp:wrapNone/>
                <wp:docPr id="54" name="Frame201"/>
                <a:graphic xmlns:a="http://schemas.openxmlformats.org/drawingml/2006/main">
                  <a:graphicData uri="http://schemas.microsoft.com/office/word/2010/wordprocessingShape">
                    <wps:wsp>
                      <wps:cNvSpPr txBox="1"/>
                      <wps:spPr>
                        <a:xfrm>
                          <a:off x="0" y="0"/>
                          <a:ext cx="5459730" cy="20447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color w:val="4B79BB"/>
                                <w:sz w:val="14"/>
                                <w:u w:val="none"/>
                                <w:effect w:val="none"/>
                              </w:rPr>
                            </w:pPr>
                            <w:r>
                              <w:rPr>
                                <w:rFonts w:ascii="Arial;sans-serif" w:hAnsi="Arial;sans-serif"/>
                                <w:b/>
                                <w:i w:val="false"/>
                                <w:caps w:val="false"/>
                                <w:smallCaps w:val="false"/>
                                <w:strike w:val="false"/>
                                <w:dstrike w:val="false"/>
                                <w:color w:val="4B79BB"/>
                                <w:sz w:val="14"/>
                                <w:u w:val="none"/>
                                <w:effect w:val="none"/>
                              </w:rPr>
                              <w:t>THE INFORMATION PRESENTED HEREIN IS UNAUDITED AND NOT REVIEWED BY OUR INDEPENDENT PUBLIC ACCOUNTANTS.</w:t>
                            </w:r>
                          </w:p>
                        </w:txbxContent>
                      </wps:txbx>
                      <wps:bodyPr anchor="t" lIns="0" tIns="0" rIns="0" bIns="0">
                        <a:noAutofit/>
                      </wps:bodyPr>
                    </wps:wsp>
                  </a:graphicData>
                </a:graphic>
              </wp:anchor>
            </w:drawing>
          </mc:Choice>
          <mc:Fallback>
            <w:pict>
              <v:rect style="position:absolute;rotation:-0;width:429.9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color w:val="4B79BB"/>
                          <w:sz w:val="14"/>
                          <w:u w:val="none"/>
                          <w:effect w:val="none"/>
                        </w:rPr>
                      </w:pPr>
                      <w:r>
                        <w:rPr>
                          <w:rFonts w:ascii="Arial;sans-serif" w:hAnsi="Arial;sans-serif"/>
                          <w:b/>
                          <w:i w:val="false"/>
                          <w:caps w:val="false"/>
                          <w:smallCaps w:val="false"/>
                          <w:strike w:val="false"/>
                          <w:dstrike w:val="false"/>
                          <w:color w:val="4B79BB"/>
                          <w:sz w:val="14"/>
                          <w:u w:val="none"/>
                          <w:effect w:val="none"/>
                        </w:rPr>
                        <w:t>THE INFORMATION PRESENTED HEREIN IS UNAUDITED AND NOT REVIEWED BY OUR INDEPENDENT PUBLIC ACCOUNTANTS.</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228600</wp:posOffset>
                </wp:positionH>
                <wp:positionV relativeFrom="line">
                  <wp:posOffset>635</wp:posOffset>
                </wp:positionV>
                <wp:extent cx="2023110" cy="204470"/>
                <wp:effectExtent l="0" t="0" r="0" b="0"/>
                <wp:wrapNone/>
                <wp:docPr id="55" name="Frame200"/>
                <a:graphic xmlns:a="http://schemas.openxmlformats.org/drawingml/2006/main">
                  <a:graphicData uri="http://schemas.microsoft.com/office/word/2010/wordprocessingShape">
                    <wps:wsp>
                      <wps:cNvSpPr txBox="1"/>
                      <wps:spPr>
                        <a:xfrm>
                          <a:off x="0" y="0"/>
                          <a:ext cx="2023110"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AMOUNTS MAY NOT FOOT DUE TO ROUNDING.</w:t>
                            </w:r>
                          </w:p>
                        </w:txbxContent>
                      </wps:txbx>
                      <wps:bodyPr anchor="t" lIns="0" tIns="0" rIns="0" bIns="0">
                        <a:noAutofit/>
                      </wps:bodyPr>
                    </wps:wsp>
                  </a:graphicData>
                </a:graphic>
              </wp:anchor>
            </w:drawing>
          </mc:Choice>
          <mc:Fallback>
            <w:pict>
              <v:rect style="position:absolute;rotation:-0;width:159.3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AMOUNTS MAY NOT FOOT DUE TO ROUNDING.</w:t>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228600</wp:posOffset>
                </wp:positionH>
                <wp:positionV relativeFrom="line">
                  <wp:posOffset>635</wp:posOffset>
                </wp:positionV>
                <wp:extent cx="4746625" cy="204470"/>
                <wp:effectExtent l="0" t="0" r="0" b="0"/>
                <wp:wrapNone/>
                <wp:docPr id="56" name="Frame199"/>
                <a:graphic xmlns:a="http://schemas.openxmlformats.org/drawingml/2006/main">
                  <a:graphicData uri="http://schemas.microsoft.com/office/word/2010/wordprocessingShape">
                    <wps:wsp>
                      <wps:cNvSpPr txBox="1"/>
                      <wps:spPr>
                        <a:xfrm>
                          <a:off x="0" y="0"/>
                          <a:ext cx="474662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will depend on a number of factors that cannot be predicted with certainty and may be materially different from estimates.</w:t>
                            </w:r>
                          </w:p>
                        </w:txbxContent>
                      </wps:txbx>
                      <wps:bodyPr anchor="t" lIns="0" tIns="0" rIns="0" bIns="0">
                        <a:noAutofit/>
                      </wps:bodyPr>
                    </wps:wsp>
                  </a:graphicData>
                </a:graphic>
              </wp:anchor>
            </w:drawing>
          </mc:Choice>
          <mc:Fallback>
            <w:pict>
              <v:rect style="position:absolute;rotation:-0;width:373.7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will depend on a number of factors that cannot be predicted with certainty and may be materially different from estimates.</w:t>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7541260</wp:posOffset>
                </wp:positionH>
                <wp:positionV relativeFrom="line">
                  <wp:posOffset>635</wp:posOffset>
                </wp:positionV>
                <wp:extent cx="24765" cy="175260"/>
                <wp:effectExtent l="0" t="0" r="0" b="0"/>
                <wp:wrapNone/>
                <wp:docPr id="57" name="Frame198"/>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228600</wp:posOffset>
                </wp:positionH>
                <wp:positionV relativeFrom="line">
                  <wp:posOffset>635</wp:posOffset>
                </wp:positionV>
                <wp:extent cx="7312660" cy="102235"/>
                <wp:effectExtent l="0" t="0" r="0" b="0"/>
                <wp:wrapNone/>
                <wp:docPr id="58" name="Frame197"/>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Pricing and duration information are estimates provided by independent third-party providers based on models that require inputs and assumptions. Actual realized prices and durations</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Pricing and duration information are estimates provided by independent third-party providers based on models that require inputs and assumptions. Actual realized prices and durations</w:t>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228600</wp:posOffset>
                </wp:positionH>
                <wp:positionV relativeFrom="line">
                  <wp:posOffset>635</wp:posOffset>
                </wp:positionV>
                <wp:extent cx="2851785" cy="204470"/>
                <wp:effectExtent l="0" t="0" r="0" b="0"/>
                <wp:wrapNone/>
                <wp:docPr id="59" name="Frame196"/>
                <a:graphic xmlns:a="http://schemas.openxmlformats.org/drawingml/2006/main">
                  <a:graphicData uri="http://schemas.microsoft.com/office/word/2010/wordprocessingShape">
                    <wps:wsp>
                      <wps:cNvSpPr txBox="1"/>
                      <wps:spPr>
                        <a:xfrm>
                          <a:off x="0" y="0"/>
                          <a:ext cx="285178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guarantee future results, levels of activity, performance or achievements.</w:t>
                            </w:r>
                          </w:p>
                        </w:txbxContent>
                      </wps:txbx>
                      <wps:bodyPr anchor="t" lIns="0" tIns="0" rIns="0" bIns="0">
                        <a:noAutofit/>
                      </wps:bodyPr>
                    </wps:wsp>
                  </a:graphicData>
                </a:graphic>
              </wp:anchor>
            </w:drawing>
          </mc:Choice>
          <mc:Fallback>
            <w:pict>
              <v:rect style="position:absolute;rotation:-0;width:224.5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guarantee future results, levels of activity, performance or achievements.</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7541895</wp:posOffset>
                </wp:positionH>
                <wp:positionV relativeFrom="line">
                  <wp:posOffset>635</wp:posOffset>
                </wp:positionV>
                <wp:extent cx="24765" cy="175260"/>
                <wp:effectExtent l="0" t="0" r="0" b="0"/>
                <wp:wrapNone/>
                <wp:docPr id="60" name="Frame195"/>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228600</wp:posOffset>
                </wp:positionH>
                <wp:positionV relativeFrom="line">
                  <wp:posOffset>635</wp:posOffset>
                </wp:positionV>
                <wp:extent cx="7313295" cy="204470"/>
                <wp:effectExtent l="0" t="0" r="0" b="0"/>
                <wp:wrapNone/>
                <wp:docPr id="61" name="Frame194"/>
                <a:graphic xmlns:a="http://schemas.openxmlformats.org/drawingml/2006/main">
                  <a:graphicData uri="http://schemas.microsoft.com/office/word/2010/wordprocessingShape">
                    <wps:wsp>
                      <wps:cNvSpPr txBox="1"/>
                      <wps:spPr>
                        <a:xfrm>
                          <a:off x="0" y="0"/>
                          <a:ext cx="731329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statements, information and estimates contained herein are based on information that the Company believes to be reliable as of today's date unless otherwise indicated. ARMOUR cannot</w:t>
                            </w:r>
                          </w:p>
                        </w:txbxContent>
                      </wps:txbx>
                      <wps:bodyPr anchor="t" lIns="0" tIns="0" rIns="0" bIns="0">
                        <a:noAutofit/>
                      </wps:bodyPr>
                    </wps:wsp>
                  </a:graphicData>
                </a:graphic>
              </wp:anchor>
            </w:drawing>
          </mc:Choice>
          <mc:Fallback>
            <w:pict>
              <v:rect style="position:absolute;rotation:-0;width:575.8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statements, information and estimates contained herein are based on information that the Company believes to be reliable as of today's date unless otherwise indicated. ARMOUR cannot</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7541895</wp:posOffset>
                </wp:positionH>
                <wp:positionV relativeFrom="line">
                  <wp:posOffset>635</wp:posOffset>
                </wp:positionV>
                <wp:extent cx="24765" cy="175260"/>
                <wp:effectExtent l="0" t="0" r="0" b="0"/>
                <wp:wrapNone/>
                <wp:docPr id="62" name="Frame193"/>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228600</wp:posOffset>
                </wp:positionH>
                <wp:positionV relativeFrom="line">
                  <wp:posOffset>635</wp:posOffset>
                </wp:positionV>
                <wp:extent cx="7313295" cy="102235"/>
                <wp:effectExtent l="0" t="0" r="0" b="0"/>
                <wp:wrapNone/>
                <wp:docPr id="63" name="Frame192"/>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This material is for information purposes only and does not constitute an offer to sell, a solicitation of an offer to buy, or a recommendation for any securities or financial instruments. The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This material is for information purposes only and does not constitute an offer to sell, a solicitation of an offer to buy, or a recommendation for any securities or financial instruments. The</w:t>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228600</wp:posOffset>
                </wp:positionH>
                <wp:positionV relativeFrom="line">
                  <wp:posOffset>635</wp:posOffset>
                </wp:positionV>
                <wp:extent cx="2655570" cy="204470"/>
                <wp:effectExtent l="0" t="0" r="0" b="0"/>
                <wp:wrapNone/>
                <wp:docPr id="64" name="Frame191"/>
                <a:graphic xmlns:a="http://schemas.openxmlformats.org/drawingml/2006/main">
                  <a:graphicData uri="http://schemas.microsoft.com/office/word/2010/wordprocessingShape">
                    <wps:wsp>
                      <wps:cNvSpPr txBox="1"/>
                      <wps:spPr>
                        <a:xfrm>
                          <a:off x="0" y="0"/>
                          <a:ext cx="2655570"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forward-looking statements, which speak only as of the date hereof.</w:t>
                            </w:r>
                          </w:p>
                        </w:txbxContent>
                      </wps:txbx>
                      <wps:bodyPr anchor="t" lIns="0" tIns="0" rIns="0" bIns="0">
                        <a:noAutofit/>
                      </wps:bodyPr>
                    </wps:wsp>
                  </a:graphicData>
                </a:graphic>
              </wp:anchor>
            </w:drawing>
          </mc:Choice>
          <mc:Fallback>
            <w:pict>
              <v:rect style="position:absolute;rotation:-0;width:209.1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forward-looking statements, which speak only as of the date hereof.</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7541895</wp:posOffset>
                </wp:positionH>
                <wp:positionV relativeFrom="line">
                  <wp:posOffset>635</wp:posOffset>
                </wp:positionV>
                <wp:extent cx="24765" cy="175260"/>
                <wp:effectExtent l="0" t="0" r="0" b="0"/>
                <wp:wrapNone/>
                <wp:docPr id="65" name="Frame190"/>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228600</wp:posOffset>
                </wp:positionH>
                <wp:positionV relativeFrom="line">
                  <wp:posOffset>635</wp:posOffset>
                </wp:positionV>
                <wp:extent cx="7313295" cy="102235"/>
                <wp:effectExtent l="0" t="0" r="0" b="0"/>
                <wp:wrapNone/>
                <wp:docPr id="66" name="Frame189"/>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ARMOUR assumes no obligation to update the information in this communication, except as otherwise required by law. Readers are cautioned not to place undue reliance on these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ARMOUR assumes no obligation to update the information in this communication, except as otherwise required by law. Readers are cautioned not to place undue reliance on these</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228600</wp:posOffset>
                </wp:positionH>
                <wp:positionV relativeFrom="line">
                  <wp:posOffset>635</wp:posOffset>
                </wp:positionV>
                <wp:extent cx="7313295" cy="102235"/>
                <wp:effectExtent l="0" t="0" r="0" b="0"/>
                <wp:wrapNone/>
                <wp:docPr id="67" name="Frame175"/>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Certain statements made in this presentation regarding ARMOUR Residential REIT, Inc. (“ARMOUR” or the “Company”), and any other statements regarding ARMOUR’s future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Certain statements made in this presentation regarding ARMOUR Residential REIT, Inc. (“ARMOUR” or the “Company”), and any other statements regarding ARMOUR’s future</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228600</wp:posOffset>
                </wp:positionH>
                <wp:positionV relativeFrom="line">
                  <wp:posOffset>635</wp:posOffset>
                </wp:positionV>
                <wp:extent cx="7313295" cy="102235"/>
                <wp:effectExtent l="0" t="0" r="0" b="0"/>
                <wp:wrapNone/>
                <wp:docPr id="68" name="Frame187"/>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concerning these factors and risks are contained in the Company’s most recent annual and quarterly reports and other reports filed with the Securities and Exchange Commission.</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concerning these factors and risks are contained in the Company’s most recent annual and quarterly reports and other reports filed with the Securities and Exchange Commission.</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7543165</wp:posOffset>
                </wp:positionH>
                <wp:positionV relativeFrom="line">
                  <wp:posOffset>635</wp:posOffset>
                </wp:positionV>
                <wp:extent cx="24765" cy="175260"/>
                <wp:effectExtent l="0" t="0" r="0" b="0"/>
                <wp:wrapNone/>
                <wp:docPr id="69" name="Frame186"/>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228600</wp:posOffset>
                </wp:positionH>
                <wp:positionV relativeFrom="line">
                  <wp:posOffset>635</wp:posOffset>
                </wp:positionV>
                <wp:extent cx="7314565" cy="102235"/>
                <wp:effectExtent l="0" t="0" r="0" b="0"/>
                <wp:wrapNone/>
                <wp:docPr id="70" name="Frame185"/>
                <a:graphic xmlns:a="http://schemas.openxmlformats.org/drawingml/2006/main">
                  <a:graphicData uri="http://schemas.microsoft.com/office/word/2010/wordprocessingShape">
                    <wps:wsp>
                      <wps:cNvSpPr txBox="1"/>
                      <wps:spPr>
                        <a:xfrm>
                          <a:off x="0" y="0"/>
                          <a:ext cx="731456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ARMOUR’s control. A number of important factors could cause actual results or events to differ materially from those indicated by such forward-looking statements. Additional information</w:t>
                            </w:r>
                          </w:p>
                        </w:txbxContent>
                      </wps:txbx>
                      <wps:bodyPr anchor="t" lIns="0" tIns="0" rIns="0" bIns="0">
                        <a:noAutofit/>
                      </wps:bodyPr>
                    </wps:wsp>
                  </a:graphicData>
                </a:graphic>
              </wp:anchor>
            </w:drawing>
          </mc:Choice>
          <mc:Fallback>
            <w:pict>
              <v:rect style="position:absolute;rotation:-0;width:575.9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ARMOUR’s control. A number of important factors could cause actual results or events to differ materially from those indicated by such forward-looking statements. Additional information</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7541260</wp:posOffset>
                </wp:positionH>
                <wp:positionV relativeFrom="line">
                  <wp:posOffset>635</wp:posOffset>
                </wp:positionV>
                <wp:extent cx="19685" cy="175260"/>
                <wp:effectExtent l="0" t="0" r="0" b="0"/>
                <wp:wrapNone/>
                <wp:docPr id="71" name="Frame184"/>
                <a:graphic xmlns:a="http://schemas.openxmlformats.org/drawingml/2006/main">
                  <a:graphicData uri="http://schemas.microsoft.com/office/word/2010/wordprocessingShape">
                    <wps:wsp>
                      <wps:cNvSpPr txBox="1"/>
                      <wps:spPr>
                        <a:xfrm>
                          <a:off x="0" y="0"/>
                          <a:ext cx="196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5pt;height:13.8pt;mso-wrap-distance-left:0pt;mso-wrap-distance-right:0pt;mso-wrap-distance-top:0pt;mso-wrap-distance-bottom:0pt;margin-top:0pt;mso-position-vertical:top;mso-position-vertical-relative:text;margin-left:593.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228600</wp:posOffset>
                </wp:positionH>
                <wp:positionV relativeFrom="line">
                  <wp:posOffset>635</wp:posOffset>
                </wp:positionV>
                <wp:extent cx="7312660" cy="102235"/>
                <wp:effectExtent l="0" t="0" r="0" b="0"/>
                <wp:wrapNone/>
                <wp:docPr id="72" name="Frame183"/>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looking statements relate to the future, they are subject to inherent uncertainties, risks and changes in circumstances that are difficult to predict and many of which are outside of</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looking statements relate to the future, they are subject to inherent uncertainties, risks and changes in circumstances that are difficult to predict and many of which are outside of</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228600</wp:posOffset>
                </wp:positionH>
                <wp:positionV relativeFrom="line">
                  <wp:posOffset>635</wp:posOffset>
                </wp:positionV>
                <wp:extent cx="7312660" cy="102235"/>
                <wp:effectExtent l="0" t="0" r="0" b="0"/>
                <wp:wrapNone/>
                <wp:docPr id="73" name="Frame182"/>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looking statements include but are not limited to statements regarding the projections and future plans for ARMOUR’s business, growth and operational improvements. Because forward-</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looking statements include but are not limited to statements regarding the projections and future plans for ARMOUR’s business, growth and operational improvements. Because forward-</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228600</wp:posOffset>
                </wp:positionH>
                <wp:positionV relativeFrom="line">
                  <wp:posOffset>635</wp:posOffset>
                </wp:positionV>
                <wp:extent cx="7314565" cy="175260"/>
                <wp:effectExtent l="0" t="0" r="0" b="0"/>
                <wp:wrapNone/>
                <wp:docPr id="74" name="Frame181"/>
                <a:graphic xmlns:a="http://schemas.openxmlformats.org/drawingml/2006/main">
                  <a:graphicData uri="http://schemas.microsoft.com/office/word/2010/wordprocessingShape">
                    <wps:wsp>
                      <wps:cNvSpPr txBox="1"/>
                      <wps:spPr>
                        <a:xfrm>
                          <a:off x="0" y="0"/>
                          <a:ext cx="7314565" cy="175260"/>
                        </a:xfrm>
                        <a:prstGeom prst="rect"/>
                        <a:solidFill>
                          <a:srgbClr val="FFFFFF"/>
                        </a:solidFill>
                      </wps:spPr>
                      <wps:txbx>
                        <w:txbxContent>
                          <w:p>
                            <w:pPr>
                              <w:pStyle w:val="TextBody"/>
                              <w:bidi w:val="0"/>
                              <w:spacing w:before="0" w:after="283"/>
                              <w:jc w:val="left"/>
                              <w:rPr>
                                <w:caps w:val="false"/>
                                <w:smallCaps w:val="false"/>
                                <w:strike w:val="false"/>
                                <w:dstrike w:val="false"/>
                                <w:color w:val="4B79BB"/>
                                <w:u w:val="none"/>
                                <w:effect w:val="none"/>
                              </w:rPr>
                            </w:pPr>
                            <w:r>
                              <w:rPr>
                                <w:caps w:val="false"/>
                                <w:smallCaps w:val="false"/>
                                <w:strike w:val="false"/>
                                <w:dstrike w:val="false"/>
                                <w:color w:val="4B79BB"/>
                                <w:u w:val="none"/>
                                <w:effect w:val="none"/>
                              </w:rPr>
                              <w:t>“</w:t>
                            </w:r>
                            <w:r>
                              <w:rPr>
                                <w:rFonts w:ascii="Arial;sans-serif" w:hAnsi="Arial;sans-serif"/>
                                <w:b w:val="false"/>
                                <w:i w:val="false"/>
                                <w:caps w:val="false"/>
                                <w:smallCaps w:val="false"/>
                                <w:strike w:val="false"/>
                                <w:dstrike w:val="false"/>
                                <w:color w:val="4B79BB"/>
                                <w:sz w:val="14"/>
                                <w:u w:val="none"/>
                                <w:effect w:val="none"/>
                              </w:rPr>
                              <w:t>intend,” “plan,” “may,” “will,” “could,” “should,” “believes,” “predicts,” “potential,” “continue,”  and similar expressions) should also be considered forward-looking statements. Forward-</w:t>
                            </w:r>
                          </w:p>
                        </w:txbxContent>
                      </wps:txbx>
                      <wps:bodyPr anchor="t" lIns="0" tIns="0" rIns="0" bIns="0">
                        <a:noAutofit/>
                      </wps:bodyPr>
                    </wps:wsp>
                  </a:graphicData>
                </a:graphic>
              </wp:anchor>
            </w:drawing>
          </mc:Choice>
          <mc:Fallback>
            <w:pict>
              <v:rect style="position:absolute;rotation:-0;width:575.95pt;height:13.8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caps w:val="false"/>
                          <w:smallCaps w:val="false"/>
                          <w:strike w:val="false"/>
                          <w:dstrike w:val="false"/>
                          <w:color w:val="4B79BB"/>
                          <w:u w:val="none"/>
                          <w:effect w:val="none"/>
                        </w:rPr>
                      </w:pPr>
                      <w:r>
                        <w:rPr>
                          <w:caps w:val="false"/>
                          <w:smallCaps w:val="false"/>
                          <w:strike w:val="false"/>
                          <w:dstrike w:val="false"/>
                          <w:color w:val="4B79BB"/>
                          <w:u w:val="none"/>
                          <w:effect w:val="none"/>
                        </w:rPr>
                        <w:t>“</w:t>
                      </w:r>
                      <w:r>
                        <w:rPr>
                          <w:rFonts w:ascii="Arial;sans-serif" w:hAnsi="Arial;sans-serif"/>
                          <w:b w:val="false"/>
                          <w:i w:val="false"/>
                          <w:caps w:val="false"/>
                          <w:smallCaps w:val="false"/>
                          <w:strike w:val="false"/>
                          <w:dstrike w:val="false"/>
                          <w:color w:val="4B79BB"/>
                          <w:sz w:val="14"/>
                          <w:u w:val="none"/>
                          <w:effect w:val="none"/>
                        </w:rPr>
                        <w:t>intend,” “plan,” “may,” “will,” “could,” “should,” “believes,” “predicts,” “potential,” “continue,”  and similar expressions) should also be considered forward-looking statements. Forward-</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7542530</wp:posOffset>
                </wp:positionH>
                <wp:positionV relativeFrom="line">
                  <wp:posOffset>635</wp:posOffset>
                </wp:positionV>
                <wp:extent cx="24765" cy="175260"/>
                <wp:effectExtent l="0" t="0" r="0" b="0"/>
                <wp:wrapNone/>
                <wp:docPr id="75" name="Frame180"/>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228600</wp:posOffset>
                </wp:positionH>
                <wp:positionV relativeFrom="line">
                  <wp:posOffset>635</wp:posOffset>
                </wp:positionV>
                <wp:extent cx="7313930" cy="102235"/>
                <wp:effectExtent l="0" t="0" r="0" b="0"/>
                <wp:wrapNone/>
                <wp:docPr id="76" name="Frame179"/>
                <a:graphic xmlns:a="http://schemas.openxmlformats.org/drawingml/2006/main">
                  <a:graphicData uri="http://schemas.microsoft.com/office/word/2010/wordprocessingShape">
                    <wps:wsp>
                      <wps:cNvSpPr txBox="1"/>
                      <wps:spPr>
                        <a:xfrm>
                          <a:off x="0" y="0"/>
                          <a:ext cx="731393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Reform Act of 1995. Any statements that are not statements of historical fact (including statements containing the words “expect,” “estimate,” “project,” “budget,” “forecast,” “anticipate,”</w:t>
                            </w:r>
                          </w:p>
                        </w:txbxContent>
                      </wps:txbx>
                      <wps:bodyPr anchor="t" lIns="0" tIns="0" rIns="0" bIns="0">
                        <a:noAutofit/>
                      </wps:bodyPr>
                    </wps:wsp>
                  </a:graphicData>
                </a:graphic>
              </wp:anchor>
            </w:drawing>
          </mc:Choice>
          <mc:Fallback>
            <w:pict>
              <v:rect style="position:absolute;rotation:-0;width:575.9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Reform Act of 1995. Any statements that are not statements of historical fact (including statements containing the words “expect,” “estimate,” “project,” “budget,” “forecast,” “anticipate,”</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7543165</wp:posOffset>
                </wp:positionH>
                <wp:positionV relativeFrom="line">
                  <wp:posOffset>635</wp:posOffset>
                </wp:positionV>
                <wp:extent cx="24765" cy="175260"/>
                <wp:effectExtent l="0" t="0" r="0" b="0"/>
                <wp:wrapNone/>
                <wp:docPr id="77" name="Frame178"/>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228600</wp:posOffset>
                </wp:positionH>
                <wp:positionV relativeFrom="line">
                  <wp:posOffset>635</wp:posOffset>
                </wp:positionV>
                <wp:extent cx="7314565" cy="102235"/>
                <wp:effectExtent l="0" t="0" r="0" b="0"/>
                <wp:wrapNone/>
                <wp:docPr id="78" name="Frame177"/>
                <a:graphic xmlns:a="http://schemas.openxmlformats.org/drawingml/2006/main">
                  <a:graphicData uri="http://schemas.microsoft.com/office/word/2010/wordprocessingShape">
                    <wps:wsp>
                      <wps:cNvSpPr txBox="1"/>
                      <wps:spPr>
                        <a:xfrm>
                          <a:off x="0" y="0"/>
                          <a:ext cx="731456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expectations, beliefs, goals or prospects constitute “forward-looking statements” made within the meaning of the safe harbor provisions of the United States Private Securities Litigation</w:t>
                            </w:r>
                          </w:p>
                        </w:txbxContent>
                      </wps:txbx>
                      <wps:bodyPr anchor="t" lIns="0" tIns="0" rIns="0" bIns="0">
                        <a:noAutofit/>
                      </wps:bodyPr>
                    </wps:wsp>
                  </a:graphicData>
                </a:graphic>
              </wp:anchor>
            </w:drawing>
          </mc:Choice>
          <mc:Fallback>
            <w:pict>
              <v:rect style="position:absolute;rotation:-0;width:575.9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4B79BB"/>
                          <w:sz w:val="14"/>
                          <w:u w:val="none"/>
                          <w:effect w:val="none"/>
                        </w:rPr>
                      </w:pPr>
                      <w:r>
                        <w:rPr>
                          <w:rFonts w:ascii="Arial;sans-serif" w:hAnsi="Arial;sans-serif"/>
                          <w:b w:val="false"/>
                          <w:i w:val="false"/>
                          <w:caps w:val="false"/>
                          <w:smallCaps w:val="false"/>
                          <w:strike w:val="false"/>
                          <w:dstrike w:val="false"/>
                          <w:color w:val="4B79BB"/>
                          <w:sz w:val="14"/>
                          <w:u w:val="none"/>
                          <w:effect w:val="none"/>
                        </w:rPr>
                        <w:t>expectations, beliefs, goals or prospects constitute “forward-looking statements” made within the meaning of the safe harbor provisions of the United States Private Securities Litigation</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7541895</wp:posOffset>
                </wp:positionH>
                <wp:positionV relativeFrom="line">
                  <wp:posOffset>635</wp:posOffset>
                </wp:positionV>
                <wp:extent cx="24765" cy="175260"/>
                <wp:effectExtent l="0" t="0" r="0" b="0"/>
                <wp:wrapNone/>
                <wp:docPr id="79" name="Frame176"/>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4B79BB"/>
          <w:sz w:val="14"/>
          <w:u w:val="none"/>
          <w:effect w:val="none"/>
          <w:shd w:fill="E4E4E4" w:val="clear"/>
        </w:rPr>
      </w:pPr>
      <w:r>
        <w:rPr>
          <w:rFonts w:ascii="Arial;sans-serif" w:hAnsi="Arial;sans-serif"/>
          <w:b w:val="false"/>
          <w:i w:val="false"/>
          <w:caps w:val="false"/>
          <w:smallCaps w:val="false"/>
          <w:strike w:val="false"/>
          <w:dstrike w:val="false"/>
          <w:color w:val="4B79BB"/>
          <w:sz w:val="14"/>
          <w:u w:val="none"/>
          <w:effect w:val="none"/>
          <w:shd w:fill="E4E4E4" w:val="clear"/>
        </w:rPr>
        <w:t>1.Total Repo divided by Shareholders’ Equity.</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4B79BB"/>
          <w:sz w:val="14"/>
          <w:u w:val="none"/>
          <w:effect w:val="none"/>
          <w:shd w:fill="E4E4E4" w:val="clear"/>
        </w:rPr>
      </w:pPr>
      <w:r>
        <w:rPr>
          <w:rFonts w:ascii="Arial;sans-serif" w:hAnsi="Arial;sans-serif"/>
          <w:b w:val="false"/>
          <w:i w:val="false"/>
          <w:caps w:val="false"/>
          <w:smallCaps w:val="false"/>
          <w:strike w:val="false"/>
          <w:dstrike w:val="false"/>
          <w:color w:val="4B79BB"/>
          <w:sz w:val="14"/>
          <w:u w:val="none"/>
          <w:effect w:val="none"/>
          <w:shd w:fill="E4E4E4" w:val="clear"/>
        </w:rPr>
        <w:t>2.Implied Leverage is Total Repo plus TBA market value net of forward settling trades divided by Shareholders’ Equity.</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4B79BB"/>
          <w:sz w:val="14"/>
          <w:u w:val="none"/>
          <w:effect w:val="none"/>
          <w:shd w:fill="E4E4E4" w:val="clear"/>
        </w:rPr>
      </w:pPr>
      <w:r>
        <w:rPr>
          <w:rFonts w:ascii="Arial;sans-serif" w:hAnsi="Arial;sans-serif"/>
          <w:b w:val="false"/>
          <w:i w:val="false"/>
          <w:caps w:val="false"/>
          <w:smallCaps w:val="false"/>
          <w:strike w:val="false"/>
          <w:dstrike w:val="false"/>
          <w:color w:val="4B79BB"/>
          <w:sz w:val="14"/>
          <w:u w:val="none"/>
          <w:effect w:val="none"/>
          <w:shd w:fill="E4E4E4" w:val="clear"/>
        </w:rPr>
        <w:t>3.Liquidity is cash plus unencumbered Agency and US Government securities. Excludes any forward settling trades.</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4B79BB"/>
          <w:sz w:val="14"/>
          <w:u w:val="none"/>
          <w:effect w:val="none"/>
          <w:shd w:fill="E4E4E4" w:val="clear"/>
        </w:rPr>
      </w:pPr>
      <w:r>
        <w:rPr>
          <w:rFonts w:ascii="Arial;sans-serif" w:hAnsi="Arial;sans-serif"/>
          <w:b w:val="false"/>
          <w:i w:val="false"/>
          <w:caps w:val="false"/>
          <w:smallCaps w:val="false"/>
          <w:strike w:val="false"/>
          <w:dstrike w:val="false"/>
          <w:color w:val="4B79BB"/>
          <w:sz w:val="14"/>
          <w:u w:val="none"/>
          <w:effect w:val="none"/>
          <w:shd w:fill="E4E4E4" w:val="clear"/>
        </w:rPr>
        <w:t>4.BUCKLER Securities LLC is an SEC registered broker-dealer and a member of FICC and FINRA that is affiliated with ARMOUR.</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4B79BB"/>
          <w:sz w:val="14"/>
          <w:u w:val="none"/>
          <w:effect w:val="none"/>
          <w:shd w:fill="E4E4E4" w:val="clear"/>
        </w:rPr>
      </w:pPr>
      <w:r>
        <w:rPr>
          <w:rFonts w:ascii="Arial;sans-serif" w:hAnsi="Arial;sans-serif"/>
          <w:b w:val="false"/>
          <w:i w:val="false"/>
          <w:caps w:val="false"/>
          <w:smallCaps w:val="false"/>
          <w:strike w:val="false"/>
          <w:dstrike w:val="false"/>
          <w:color w:val="4B79BB"/>
          <w:sz w:val="14"/>
          <w:u w:val="none"/>
          <w:effect w:val="none"/>
          <w:shd w:fill="E4E4E4" w:val="clear"/>
        </w:rPr>
        <w:t xml:space="preserve">5.Repo composition includes funding for US Treasury longs and margin collateral posted to ARMOUR. </w:t>
      </w:r>
    </w:p>
    <w:p>
      <w:pPr>
        <w:pStyle w:val="TextBody"/>
        <w:bidi w:val="0"/>
        <w:spacing w:lineRule="atLeast" w:line="142" w:before="0" w:after="283"/>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4B79BB"/>
          <w:sz w:val="14"/>
          <w:u w:val="none"/>
          <w:effect w:val="none"/>
          <w:shd w:fill="E4E4E4" w:val="clear"/>
        </w:rPr>
        <w:t>6.ARMOUR’s Treasury Futures have a weighted average duration of 10.52</w:t>
      </w:r>
      <w:r>
        <w:rPr>
          <w:rFonts w:ascii="Arial;sans-serif" w:hAnsi="Arial;sans-serif"/>
          <w:caps w:val="false"/>
          <w:smallCaps w:val="false"/>
          <w:strike w:val="false"/>
          <w:dstrike w:val="false"/>
          <w:color w:val="4B79BB"/>
          <w:sz w:val="24"/>
          <w:u w:val="none"/>
          <w:effect w:val="none"/>
          <w:shd w:fill="E4E4E4" w:val="clear"/>
        </w:rPr>
        <w:t xml:space="preserve"> </w:t>
      </w:r>
      <w:r>
        <w:rPr>
          <w:rFonts w:ascii="Arial;sans-serif" w:hAnsi="Arial;sans-serif"/>
          <w:b w:val="false"/>
          <w:i w:val="false"/>
          <w:caps w:val="false"/>
          <w:smallCaps w:val="false"/>
          <w:strike w:val="false"/>
          <w:dstrike w:val="false"/>
          <w:color w:val="4B79BB"/>
          <w:sz w:val="14"/>
          <w:u w:val="none"/>
          <w:effect w:val="none"/>
          <w:shd w:fill="E4E4E4" w:val="clear"/>
        </w:rPr>
        <w:t>years.</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1483</Words>
  <Characters>8320</Characters>
  <CharactersWithSpaces>9540</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