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Date of Report (Date of earliest event reported) October 20, 2026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20, 2026, ARMOUR Residential REIT, Inc. (“ARMOUR”) issued a press release announcing that it will provide an online, real-time webcast of its conference call with equity analysts covering ARMOUR's operating results for the third quarter ended September 30, 2026, on Thursday, October 22, 2026, beginning at 8:00 a.m. (ET).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attached as Exhibit 99.1 to this report.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reported under this Item 7.01 of Form 8-K, including Exhibit 99.1, is being furnished and shall not be deemed “filed” for purposes of Section 18 of the Securities Exchange Act of 1934, as amended (the “Exchange Act”), or otherwise subject to the liabilities under that section and shall not be deemed to be incorporated by reference into any filing of ARMOUR under the Securities Act of 1933, as amended,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6earningscallannounce.htm">
              <w:r>
                <w:rPr>
                  <w:rStyle w:val="InternetLink"/>
                  <w:rFonts w:ascii="Times New Roman;serif" w:hAnsi="Times New Roman;serif"/>
                  <w:b w:val="false"/>
                  <w:color w:val="0000FF"/>
                  <w:sz w:val="20"/>
                  <w:u w:val="single"/>
                </w:rPr>
                <w:t>Press release dated October 20,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20, 2026</w:t>
      </w:r>
    </w:p>
    <w:tbl>
      <w:tblPr>
        <w:tblW w:w="4629" w:type="dxa"/>
        <w:jc w:val="left"/>
        <w:tblInd w:w="0" w:type="dxa"/>
        <w:tblLayout w:type="fixed"/>
        <w:tblCellMar>
          <w:top w:w="28" w:type="dxa"/>
          <w:left w:w="28" w:type="dxa"/>
          <w:bottom w:w="28" w:type="dxa"/>
          <w:right w:w="28" w:type="dxa"/>
        </w:tblCellMar>
      </w:tblPr>
      <w:tblGrid>
        <w:gridCol w:w="124"/>
        <w:gridCol w:w="109"/>
        <w:gridCol w:w="109"/>
        <w:gridCol w:w="359"/>
        <w:gridCol w:w="359"/>
        <w:gridCol w:w="359"/>
        <w:gridCol w:w="655"/>
        <w:gridCol w:w="655"/>
        <w:gridCol w:w="655"/>
        <w:gridCol w:w="359"/>
        <w:gridCol w:w="359"/>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ARMOUR RESIDENTIAL REIT,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Gordon M. Harper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2743200" cy="685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743200" cy="6858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 xml:space="preserve">ARMOUR RESIDENTIAL REIT, INC. THIRD QUARTER 2026 </w:t>
      </w:r>
    </w:p>
    <w:p>
      <w:pPr>
        <w:pStyle w:val="TextBody"/>
        <w:bidi w:val="0"/>
        <w:spacing w:lineRule="auto" w:line="288" w:before="0" w:after="0"/>
        <w:jc w:val="center"/>
        <w:rPr>
          <w:rFonts w:ascii="sans-serif" w:hAnsi="sans-serif"/>
          <w:b/>
          <w:color w:val="000000"/>
          <w:sz w:val="28"/>
        </w:rPr>
      </w:pPr>
      <w:r>
        <w:rPr>
          <w:rFonts w:ascii="sans-serif" w:hAnsi="sans-serif"/>
          <w:b/>
          <w:color w:val="000000"/>
          <w:sz w:val="28"/>
        </w:rPr>
        <w:t>WEBCAST SCHEDULED FOR OCTOBER 22,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pPr>
      <w:r>
        <w:rPr>
          <w:rFonts w:ascii="sans-serif" w:hAnsi="sans-serif"/>
          <w:b/>
          <w:color w:val="000000"/>
          <w:sz w:val="24"/>
        </w:rPr>
        <w:t xml:space="preserve">VERO BEACH, Florida – October 20, 2026 </w:t>
      </w:r>
      <w:r>
        <w:rPr>
          <w:color w:val="000000"/>
        </w:rPr>
        <w:t xml:space="preserve">– </w:t>
      </w:r>
      <w:r>
        <w:rPr>
          <w:rFonts w:ascii="sans-serif" w:hAnsi="sans-serif"/>
          <w:b w:val="false"/>
          <w:color w:val="000000"/>
          <w:sz w:val="24"/>
        </w:rPr>
        <w:t>ARMOUR Residential REIT, Inc. (NYSE: ARR and ARR-PRC) (“ARMOUR” or the “Company”) announced today that it will provide an online, real</w:t>
        <w:noBreakHyphen/>
        <w:t>time webcast of its conference call with equity analysts covering third quarter 2026 operating results on Thursday, October 22, 2026. The Company will issue its third quarter 2026 earnings release after the close of trading on Wednesday, October 21, 2026.</w:t>
      </w:r>
    </w:p>
    <w:p>
      <w:pPr>
        <w:pStyle w:val="TextBody"/>
        <w:bidi w:val="0"/>
        <w:spacing w:before="0" w:after="0"/>
        <w:jc w:val="both"/>
        <w:rPr/>
      </w:pPr>
      <w:r>
        <w:rPr/>
      </w:r>
    </w:p>
    <w:p>
      <w:pPr>
        <w:pStyle w:val="TextBody"/>
        <w:bidi w:val="0"/>
        <w:spacing w:lineRule="auto" w:line="268" w:before="0" w:after="0"/>
        <w:jc w:val="left"/>
        <w:rPr/>
      </w:pPr>
      <w:r>
        <w:rPr>
          <w:rFonts w:ascii="sans-serif" w:hAnsi="sans-serif"/>
          <w:b w:val="false"/>
          <w:color w:val="000000"/>
          <w:sz w:val="24"/>
        </w:rPr>
        <w:t>The live broadcast will be available</w:t>
      </w:r>
      <w:r>
        <w:rPr>
          <w:color w:val="1C4787"/>
        </w:rPr>
        <w:t xml:space="preserve"> </w:t>
      </w:r>
      <w:r>
        <w:rPr>
          <w:rFonts w:ascii="sans-serif" w:hAnsi="sans-serif"/>
          <w:b w:val="false"/>
          <w:color w:val="000000"/>
          <w:sz w:val="24"/>
        </w:rPr>
        <w:t xml:space="preserve">on October 22, 2026, beginning at 8:00 a.m. (Eastern Time) </w:t>
      </w:r>
      <w:r>
        <w:rPr>
          <w:rFonts w:ascii="sans-serif" w:hAnsi="sans-serif"/>
          <w:b w:val="false"/>
          <w:color w:val="0255CB"/>
          <w:sz w:val="24"/>
          <w:u w:val="single"/>
        </w:rPr>
        <w:t>https://event.choruscall.com/mediaframe/webcast.html?webcastid=aRqGLlv9</w:t>
      </w:r>
      <w:r>
        <w:rPr>
          <w:rFonts w:ascii="sans-serif" w:hAnsi="sans-serif"/>
          <w:b w:val="false"/>
          <w:color w:val="000000"/>
          <w:sz w:val="24"/>
        </w:rPr>
        <w:t xml:space="preserve">. </w:t>
      </w:r>
    </w:p>
    <w:p>
      <w:pPr>
        <w:pStyle w:val="TextBody"/>
        <w:bidi w:val="0"/>
        <w:spacing w:before="0" w:after="0"/>
        <w:jc w:val="left"/>
        <w:rPr/>
      </w:pPr>
      <w:r>
        <w:rPr/>
      </w:r>
    </w:p>
    <w:p>
      <w:pPr>
        <w:pStyle w:val="TextBody"/>
        <w:bidi w:val="0"/>
        <w:spacing w:lineRule="auto" w:line="268" w:before="0" w:after="0"/>
        <w:jc w:val="both"/>
        <w:rPr/>
      </w:pPr>
      <w:r>
        <w:rPr>
          <w:rFonts w:ascii="sans-serif" w:hAnsi="sans-serif"/>
          <w:b w:val="false"/>
          <w:color w:val="000000"/>
          <w:sz w:val="24"/>
        </w:rPr>
        <w:t xml:space="preserve">The online replay will be available on the Company’s website </w:t>
      </w:r>
      <w:r>
        <w:rPr>
          <w:rFonts w:ascii="sans-serif" w:hAnsi="sans-serif"/>
          <w:b w:val="false"/>
          <w:color w:val="0255CB"/>
          <w:sz w:val="24"/>
          <w:u w:val="single"/>
        </w:rPr>
        <w:t>www.armourreit.com</w:t>
      </w:r>
      <w:r>
        <w:rPr>
          <w:color w:val="000000"/>
        </w:rPr>
        <w:t xml:space="preserve"> </w:t>
      </w:r>
      <w:r>
        <w:rPr>
          <w:rFonts w:ascii="sans-serif" w:hAnsi="sans-serif"/>
          <w:b w:val="false"/>
          <w:color w:val="000000"/>
          <w:sz w:val="24"/>
        </w:rPr>
        <w:t>and continue for one year.</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4"/>
        </w:rPr>
      </w:pPr>
      <w:r>
        <w:rPr>
          <w:rFonts w:ascii="sans-serif" w:hAnsi="sans-serif"/>
          <w:b/>
          <w:color w:val="000000"/>
          <w:sz w:val="24"/>
        </w:rPr>
        <w:t>About ARMOUR Residential REIT, Inc.</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 xml:space="preserve">ARMOUR invests primarily in fixed rate residential, adjustable rate and hybrid adjustable rate residential mortgage-backed securities issued or guaranteed by U.S. Government-sponsored enterprises or guaranteed by the Government National Mortgage Association. ARMOUR is externally managed and advised by ARMOUR Capital Management LP, an investment advisor registered with the Securities and Exchange Commission (“SEC”). </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24"/>
        </w:rPr>
      </w:pPr>
      <w:r>
        <w:rPr>
          <w:rFonts w:ascii="sans-serif" w:hAnsi="sans-serif"/>
          <w:b/>
          <w:color w:val="000000"/>
          <w:sz w:val="24"/>
        </w:rPr>
        <w:t>Additional Information and Where to Find It</w:t>
      </w:r>
    </w:p>
    <w:p>
      <w:pPr>
        <w:pStyle w:val="TextBody"/>
        <w:bidi w:val="0"/>
        <w:spacing w:lineRule="auto" w:line="288" w:before="0" w:after="0"/>
        <w:jc w:val="both"/>
        <w:rPr/>
      </w:pPr>
      <w:r>
        <w:rPr>
          <w:rFonts w:ascii="sans-serif" w:hAnsi="sans-serif"/>
          <w:b w:val="false"/>
          <w:color w:val="000000"/>
          <w:sz w:val="24"/>
        </w:rPr>
        <w:t xml:space="preserve">Investors, security holders and other interested persons may find additional information regarding the Company at the SEC’s internet site at </w:t>
      </w:r>
      <w:r>
        <w:rPr>
          <w:rFonts w:ascii="sans-serif" w:hAnsi="sans-serif"/>
          <w:b w:val="false"/>
          <w:color w:val="0255CB"/>
          <w:sz w:val="24"/>
          <w:u w:val="single"/>
        </w:rPr>
        <w:t>www.sec.gov</w:t>
      </w:r>
      <w:r>
        <w:rPr>
          <w:rFonts w:ascii="sans-serif" w:hAnsi="sans-serif"/>
          <w:b w:val="false"/>
          <w:color w:val="000000"/>
          <w:sz w:val="24"/>
        </w:rPr>
        <w:t xml:space="preserve">, or the Company website at </w:t>
      </w:r>
      <w:r>
        <w:rPr>
          <w:rFonts w:ascii="sans-serif" w:hAnsi="sans-serif"/>
          <w:b w:val="false"/>
          <w:color w:val="0255CB"/>
          <w:sz w:val="24"/>
          <w:u w:val="single"/>
        </w:rPr>
        <w:t>www.armourreit.com</w:t>
      </w:r>
      <w:r>
        <w:rPr>
          <w:rFonts w:ascii="sans-serif" w:hAnsi="sans-serif"/>
          <w:b w:val="false"/>
          <w:color w:val="0000FF"/>
          <w:sz w:val="24"/>
        </w:rPr>
        <w:t>,</w:t>
      </w:r>
      <w:r>
        <w:rPr>
          <w:color w:val="000000"/>
        </w:rPr>
        <w:t xml:space="preserve"> </w:t>
      </w:r>
      <w:r>
        <w:rPr>
          <w:rFonts w:ascii="sans-serif" w:hAnsi="sans-serif"/>
          <w:b w:val="false"/>
          <w:color w:val="000000"/>
          <w:sz w:val="24"/>
        </w:rPr>
        <w:t>or by directing requests to: ARMOUR Residential REIT, Inc., 3001 Ocean Drive, Suite 201, Vero Beach, Florida 32963, Attention: Investor Relations.</w:t>
      </w:r>
    </w:p>
    <w:p>
      <w:pPr>
        <w:pStyle w:val="TextBody"/>
        <w:bidi w:val="0"/>
        <w:spacing w:before="0" w:after="0"/>
        <w:jc w:val="both"/>
        <w:rPr/>
      </w:pPr>
      <w:r>
        <w:rPr/>
      </w:r>
    </w:p>
    <w:p>
      <w:pPr>
        <w:pStyle w:val="TextBody"/>
        <w:bidi w:val="0"/>
        <w:spacing w:lineRule="auto" w:line="288" w:before="0" w:after="0"/>
        <w:jc w:val="both"/>
        <w:rPr/>
      </w:pPr>
      <w:r>
        <w:rPr>
          <w:rFonts w:ascii="sans-serif" w:hAnsi="sans-serif"/>
          <w:b/>
          <w:color w:val="000000"/>
          <w:sz w:val="24"/>
        </w:rPr>
        <w:t>Investor Contact:</w:t>
      </w:r>
      <w:r>
        <w:rPr>
          <w:color w:val="000000"/>
        </w:rPr>
        <w:t>    </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Gordon M. Harper</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Chief Financial Officer</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ARMOUR Residential REIT, Inc.</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(772) 617-4340</w:t>
      </w:r>
    </w:p>
    <w:p>
      <w:pPr>
        <w:pStyle w:val="TextBody"/>
        <w:bidi w:val="0"/>
        <w:spacing w:before="0" w:after="0"/>
        <w:jc w:val="both"/>
        <w:rPr/>
      </w:pPr>
      <w:r>
        <w:rPr/>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7800"/>
                <wp:effectExtent l="0" t="0" r="0" b="0"/>
                <wp:wrapNone/>
                <wp:docPr id="5" name="Frame4"/>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 END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 END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803</Words>
  <Characters>4563</Characters>
  <CharactersWithSpaces>5350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